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3020005B" w14:textId="4A6BFD0D" w:rsidR="005F2746" w:rsidRDefault="00225F42" w:rsidP="005C672F">
      <w:pPr>
        <w:jc w:val="center"/>
        <w:rPr>
          <w:rFonts w:ascii="Arial" w:hAnsi="Arial" w:cs="Arial"/>
          <w:b/>
          <w:bCs/>
          <w:sz w:val="28"/>
          <w:szCs w:val="28"/>
        </w:rPr>
      </w:pPr>
      <w:r w:rsidRPr="00225F42">
        <w:rPr>
          <w:rFonts w:ascii="Arial" w:hAnsi="Arial" w:cs="Arial"/>
          <w:b/>
          <w:bCs/>
          <w:sz w:val="28"/>
          <w:szCs w:val="28"/>
        </w:rPr>
        <w:t>Pendampingan Pelaporan PPh Final UMKM sebagai Upaya Peningkatan Kepatuhan Perpajakan di Kilta Tax Consulting</w:t>
      </w:r>
    </w:p>
    <w:p w14:paraId="2E784190" w14:textId="77777777" w:rsidR="00035561" w:rsidRDefault="00035561" w:rsidP="005C672F">
      <w:pPr>
        <w:jc w:val="center"/>
        <w:rPr>
          <w:rFonts w:ascii="Arial" w:hAnsi="Arial" w:cs="Arial"/>
          <w:b/>
          <w:bCs/>
          <w:sz w:val="24"/>
          <w:szCs w:val="24"/>
        </w:rPr>
      </w:pPr>
    </w:p>
    <w:p w14:paraId="26964CEB" w14:textId="30DE3EC9" w:rsidR="005C672F" w:rsidRPr="00762402" w:rsidRDefault="0057710E" w:rsidP="005C672F">
      <w:pPr>
        <w:spacing w:line="276" w:lineRule="auto"/>
        <w:jc w:val="center"/>
        <w:rPr>
          <w:rFonts w:ascii="Arial" w:hAnsi="Arial" w:cs="Arial"/>
          <w:b/>
          <w:vertAlign w:val="superscript"/>
        </w:rPr>
      </w:pPr>
      <w:r>
        <w:rPr>
          <w:rFonts w:ascii="Arial" w:hAnsi="Arial" w:cs="Arial"/>
          <w:b/>
        </w:rPr>
        <w:t>Lalu Mohamad Rhade</w:t>
      </w:r>
      <w:r w:rsidR="005C672F" w:rsidRPr="00762402">
        <w:rPr>
          <w:rFonts w:ascii="Arial" w:hAnsi="Arial" w:cs="Arial"/>
          <w:b/>
          <w:vertAlign w:val="superscript"/>
        </w:rPr>
        <w:t>1</w:t>
      </w:r>
      <w:r w:rsidR="005C672F" w:rsidRPr="00762402">
        <w:rPr>
          <w:rFonts w:ascii="Arial" w:hAnsi="Arial" w:cs="Arial"/>
          <w:b/>
        </w:rPr>
        <w:t>,</w:t>
      </w:r>
      <w:r w:rsidR="005C672F">
        <w:rPr>
          <w:rFonts w:ascii="Arial" w:hAnsi="Arial" w:cs="Arial"/>
          <w:b/>
          <w:vertAlign w:val="superscript"/>
        </w:rPr>
        <w:t xml:space="preserve"> </w:t>
      </w:r>
      <w:r>
        <w:rPr>
          <w:rFonts w:ascii="Arial" w:hAnsi="Arial" w:cs="Arial"/>
          <w:b/>
        </w:rPr>
        <w:t>Firmansyah</w:t>
      </w:r>
      <w:r w:rsidR="005C672F" w:rsidRPr="00762402">
        <w:rPr>
          <w:rFonts w:ascii="Arial" w:hAnsi="Arial" w:cs="Arial"/>
          <w:b/>
          <w:vertAlign w:val="superscript"/>
        </w:rPr>
        <w:t>2</w:t>
      </w:r>
      <w:r w:rsidR="004634D5">
        <w:rPr>
          <w:rFonts w:ascii="Arial" w:hAnsi="Arial" w:cs="Arial"/>
          <w:b/>
          <w:vertAlign w:val="superscript"/>
        </w:rPr>
        <w:t>*</w:t>
      </w:r>
    </w:p>
    <w:p w14:paraId="02A5F7A3" w14:textId="6C754DCF" w:rsidR="004634D5" w:rsidRDefault="00BE35B4" w:rsidP="005C672F">
      <w:pPr>
        <w:spacing w:line="276" w:lineRule="auto"/>
        <w:jc w:val="center"/>
        <w:rPr>
          <w:rFonts w:ascii="Arial" w:hAnsi="Arial" w:cs="Arial"/>
          <w:sz w:val="20"/>
          <w:szCs w:val="20"/>
        </w:rPr>
      </w:pPr>
      <w:hyperlink r:id="rId7" w:history="1">
        <w:r w:rsidR="0057710E" w:rsidRPr="00E131AD">
          <w:rPr>
            <w:rStyle w:val="Hyperlink"/>
            <w:rFonts w:ascii="Arial" w:hAnsi="Arial" w:cs="Arial"/>
            <w:sz w:val="20"/>
            <w:szCs w:val="20"/>
          </w:rPr>
          <w:t>rhade@gmail.com</w:t>
        </w:r>
      </w:hyperlink>
      <w:r w:rsidR="004634D5">
        <w:rPr>
          <w:rFonts w:ascii="Arial" w:hAnsi="Arial" w:cs="Arial"/>
          <w:sz w:val="20"/>
          <w:szCs w:val="20"/>
        </w:rPr>
        <w:t xml:space="preserve">, </w:t>
      </w:r>
      <w:hyperlink r:id="rId8" w:history="1">
        <w:r w:rsidR="0057710E" w:rsidRPr="00E131AD">
          <w:rPr>
            <w:rStyle w:val="Hyperlink"/>
            <w:rFonts w:ascii="Arial" w:hAnsi="Arial" w:cs="Arial"/>
            <w:sz w:val="20"/>
            <w:szCs w:val="20"/>
          </w:rPr>
          <w:t>firmansyah@unram.ac.id</w:t>
        </w:r>
      </w:hyperlink>
    </w:p>
    <w:p w14:paraId="0E9A2291" w14:textId="37E745DF" w:rsidR="005C672F" w:rsidRPr="00762402" w:rsidRDefault="005C672F" w:rsidP="005C672F">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p>
    <w:p w14:paraId="4A2CD6B0" w14:textId="77777777" w:rsidR="005C672F" w:rsidRDefault="005C672F" w:rsidP="005C672F">
      <w:pPr>
        <w:spacing w:line="276" w:lineRule="auto"/>
      </w:pPr>
    </w:p>
    <w:p w14:paraId="3534F8C0" w14:textId="77777777" w:rsidR="005C672F" w:rsidRPr="00762402" w:rsidRDefault="005C672F" w:rsidP="005C672F">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42CBC007" w14:textId="75D23F60" w:rsidR="0057710E" w:rsidRDefault="0057710E" w:rsidP="0057710E">
      <w:pPr>
        <w:tabs>
          <w:tab w:val="left" w:pos="440"/>
        </w:tabs>
        <w:jc w:val="both"/>
        <w:rPr>
          <w:rFonts w:ascii="Arial" w:hAnsi="Arial" w:cs="Arial"/>
          <w:i/>
          <w:sz w:val="20"/>
          <w:szCs w:val="20"/>
        </w:rPr>
      </w:pPr>
      <w:r w:rsidRPr="0057710E">
        <w:rPr>
          <w:rFonts w:ascii="Arial" w:hAnsi="Arial" w:cs="Arial"/>
          <w:i/>
          <w:sz w:val="20"/>
          <w:szCs w:val="20"/>
        </w:rPr>
        <w:t>Pajak Penghasilan (PPh) Final bagi Usaha Mikro, Kecil, dan Menengah (UMKM) merupakan kebijakan pemerintah yang bertujuan untuk memberikan kemudahan, kepastian, serta penyederhanaan dalam pelaksanaan kewajiban perpajakan. Berdasarkan Peraturan Pemerintah Nomor 23 Tahun 2018, wajib pajak yang memiliki peredaran bruto tidak melebihi Rp4,8 miliar dalam satu tahun pajak dikenai PPh Final dengan tarif sebesar 0,5% dari omzet. Dengan sistem yang sederhana, PPh Final diharapkan mampu meningkatkan kepatuhan pajak, memperluas basis pajak nasional, serta memberikan kontribusi signifikan terhadap penerimaan negara dan pertumbuhan ekonomi yang inklusif.</w:t>
      </w:r>
      <w:r>
        <w:rPr>
          <w:rFonts w:ascii="Arial" w:hAnsi="Arial" w:cs="Arial"/>
          <w:i/>
          <w:sz w:val="20"/>
          <w:szCs w:val="20"/>
        </w:rPr>
        <w:t xml:space="preserve"> </w:t>
      </w:r>
      <w:r w:rsidRPr="0057710E">
        <w:rPr>
          <w:rFonts w:ascii="Arial" w:hAnsi="Arial" w:cs="Arial"/>
          <w:i/>
          <w:sz w:val="20"/>
          <w:szCs w:val="20"/>
        </w:rPr>
        <w:t>Proses administrasi pelaporan PPh Final bagi UMKM di Kantor Konsultan Pajak KILTA Tax Consulting dilaksanakan secara sistematis melalui beberapa tahapan yang terstruktur. Kegiatan dimulai dari pengumpulan dan pencatatan data omzet klien, dilanjutkan dengan rekapitulasi ke dalam sistem administrasi internal, serta verifikasi dan perhitungan pajak terutang berdasarkan ketentuan yang berlaku. Setelah proses perhitungan selesai, dilakukan pembuatan kode billing, penyetoran pajak, dan pelaporan SPT Masa PPh Final melalui DJP Online. Seluruh tahapan tersebut diawasi langsung oleh konsultan pajak dan staf administrasi untuk memastikan ketepatan data serta kepatuhan terhadap regulasi perpajakan. Penerapan sistem administrasi digital di kantor tersebut mencerminkan praktik administrasi perpajakan modern yang menekankan pada efisiensi, ketertiban dokumentasi, dan akuntabilitas dalam proses pelaporan pajak bagi pelaku UMKM.</w:t>
      </w:r>
    </w:p>
    <w:p w14:paraId="75C1ACAF" w14:textId="4C7F5543" w:rsidR="005C672F" w:rsidRDefault="005C672F" w:rsidP="00E60522">
      <w:pPr>
        <w:tabs>
          <w:tab w:val="left" w:pos="440"/>
        </w:tabs>
        <w:rPr>
          <w:rFonts w:ascii="Arial" w:hAnsi="Arial" w:cs="Arial"/>
          <w:b/>
          <w:bCs/>
          <w:sz w:val="24"/>
          <w:szCs w:val="24"/>
          <w:lang w:val="en-ID"/>
        </w:rPr>
      </w:pPr>
      <w:r w:rsidRPr="00191331">
        <w:rPr>
          <w:rFonts w:ascii="Arial" w:hAnsi="Arial" w:cs="Arial"/>
          <w:b/>
          <w:sz w:val="20"/>
          <w:szCs w:val="20"/>
        </w:rPr>
        <w:t xml:space="preserve">Kata kunci: </w:t>
      </w:r>
      <w:r w:rsidR="00694255" w:rsidRPr="00694255">
        <w:rPr>
          <w:rFonts w:ascii="Arial" w:hAnsi="Arial" w:cs="Arial"/>
          <w:b/>
          <w:sz w:val="20"/>
          <w:szCs w:val="20"/>
        </w:rPr>
        <w:t>P</w:t>
      </w:r>
      <w:r w:rsidR="0057710E">
        <w:rPr>
          <w:rFonts w:ascii="Arial" w:hAnsi="Arial" w:cs="Arial"/>
          <w:b/>
          <w:sz w:val="20"/>
          <w:szCs w:val="20"/>
        </w:rPr>
        <w:t xml:space="preserve">Ph Final, UMKM, </w:t>
      </w:r>
      <w:bookmarkStart w:id="0" w:name="_GoBack"/>
      <w:r w:rsidR="0057710E">
        <w:rPr>
          <w:rFonts w:ascii="Arial" w:hAnsi="Arial" w:cs="Arial"/>
          <w:b/>
          <w:sz w:val="20"/>
          <w:szCs w:val="20"/>
        </w:rPr>
        <w:t>Kilta Tax Consulting</w:t>
      </w:r>
      <w:bookmarkEnd w:id="0"/>
    </w:p>
    <w:p w14:paraId="220AB1BC" w14:textId="77777777" w:rsidR="005C672F" w:rsidRDefault="005C672F" w:rsidP="005C672F">
      <w:pPr>
        <w:rPr>
          <w:rFonts w:ascii="Arial" w:hAnsi="Arial" w:cs="Arial"/>
          <w:b/>
          <w:bCs/>
          <w:sz w:val="24"/>
          <w:szCs w:val="24"/>
          <w:lang w:val="en-ID"/>
        </w:rPr>
      </w:pPr>
    </w:p>
    <w:p w14:paraId="3812BAE5" w14:textId="3A3A13F0" w:rsidR="005C672F" w:rsidRPr="006659E0" w:rsidRDefault="005C672F" w:rsidP="001C5102">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4694B9CC" w14:textId="77777777" w:rsidR="0057710E" w:rsidRPr="0057710E" w:rsidRDefault="0057710E" w:rsidP="0057710E">
      <w:pPr>
        <w:spacing w:after="160" w:line="276" w:lineRule="auto"/>
        <w:ind w:firstLine="720"/>
        <w:jc w:val="both"/>
        <w:rPr>
          <w:rFonts w:ascii="Arial" w:hAnsi="Arial" w:cs="Arial"/>
          <w:sz w:val="24"/>
          <w:szCs w:val="24"/>
        </w:rPr>
      </w:pPr>
      <w:r w:rsidRPr="0057710E">
        <w:rPr>
          <w:rFonts w:ascii="Arial" w:hAnsi="Arial" w:cs="Arial"/>
          <w:sz w:val="24"/>
          <w:szCs w:val="24"/>
        </w:rPr>
        <w:t>Pajak di Indonesia merupakan salah satu instrumen penting dalam menunjang pembangunan nasional karena menjadi sumber penerimaan negara yang dominan. Sistem perpajakan yang digunakan adalah self-assessment system, yaitu sistem yang memberikan kepercayaan penuh kepada wajib pajak untuk menghitung, menyetor, dan melaporkan sendiri pajak terutang sesuai dengan peraturan perundang-undangan yang berlaku. Direktorat Jenderal Pajak (DJP) hanya berperan dalam melakukan pengawasan terhadap kepatuhan wajib pajak. Sistem ini tentu menuntut kemampuan administratif yang memadai dari wajib pajak, termasuk kewajiban pendaftaran, pencatatan, penyetoran, dan pelaporan Surat Pemberitahuan (SPT). Dalam perkembangannya, pemerintah melalui DJP telah mendorong digitalisasi administrasi perpajakan, misalnya melalui layanan e-billing, e-bupot, dan yang terbaru yaitu Coretax, yang bertujuan untuk meningkatkan efisiensi sekaligus akurasi pelaporan pajak.</w:t>
      </w:r>
    </w:p>
    <w:p w14:paraId="52A8A1B2" w14:textId="77777777" w:rsidR="0057710E" w:rsidRPr="0057710E" w:rsidRDefault="0057710E" w:rsidP="0057710E">
      <w:pPr>
        <w:spacing w:after="160" w:line="276" w:lineRule="auto"/>
        <w:ind w:firstLine="720"/>
        <w:jc w:val="both"/>
        <w:rPr>
          <w:rFonts w:ascii="Arial" w:hAnsi="Arial" w:cs="Arial"/>
          <w:sz w:val="24"/>
          <w:szCs w:val="24"/>
        </w:rPr>
      </w:pPr>
      <w:r w:rsidRPr="0057710E">
        <w:rPr>
          <w:rFonts w:ascii="Arial" w:hAnsi="Arial" w:cs="Arial"/>
          <w:sz w:val="24"/>
          <w:szCs w:val="24"/>
        </w:rPr>
        <w:t xml:space="preserve">Salah satu kelompok yang terdampak langsung oleh sistem ini adalah Usaha Mikro, Kecil, dan Menengah (UMKM). UMKM merupakan pilar penting dalam perekonomian Indonesia. Data dari Kementerian Koperasi dan UKM serta Badan Pusat Statistik menunjukkan bahwa UMKM mencakup lebih dari 99% unit usaha di Indonesia, menyerap lebih dari 97% tenaga kerja nasional, serta memberikan </w:t>
      </w:r>
      <w:r w:rsidRPr="0057710E">
        <w:rPr>
          <w:rFonts w:ascii="Arial" w:hAnsi="Arial" w:cs="Arial"/>
          <w:sz w:val="24"/>
          <w:szCs w:val="24"/>
        </w:rPr>
        <w:lastRenderedPageBreak/>
        <w:t xml:space="preserve">kontribusi sekitar 60% terhadap P (Hidayat, </w:t>
      </w:r>
      <w:proofErr w:type="gramStart"/>
      <w:r w:rsidRPr="0057710E">
        <w:rPr>
          <w:rFonts w:ascii="Arial" w:hAnsi="Arial" w:cs="Arial"/>
          <w:sz w:val="24"/>
          <w:szCs w:val="24"/>
        </w:rPr>
        <w:t>2021)roduk</w:t>
      </w:r>
      <w:proofErr w:type="gramEnd"/>
      <w:r w:rsidRPr="0057710E">
        <w:rPr>
          <w:rFonts w:ascii="Arial" w:hAnsi="Arial" w:cs="Arial"/>
          <w:sz w:val="24"/>
          <w:szCs w:val="24"/>
        </w:rPr>
        <w:t xml:space="preserve"> Domestik Bruto (PDB). Dengan kontribusi yang begitu besar, UMKM tidak hanya berperan sebagai penggerak ekonomi domestik, tetapi juga menjadi fokus utama pemerintah dalam upaya memperluas basis pajak dan meningkatkan kepatuhan wajib pajak. Namun demikian, karakteristik UMKM yang sangat heterogen, baik dari sisi skala usaha, kemampuan administrasi, maupun literasi perpajakan, menimbulkan tantangan tersendiri dalam pelaksanaan kewajiban perpajakan. Banyak pelaku UMKM belum sepenuhnya memahami kewajiban perpajakan, sehingga seringkali membutuhkan bantuan pihak ketiga seperti konsultan pajak untuk mengurus perhitungan, penyetoran, maupun pelaporan pajaknya.</w:t>
      </w:r>
    </w:p>
    <w:p w14:paraId="2A501AA8" w14:textId="77777777" w:rsidR="0057710E" w:rsidRPr="0057710E" w:rsidRDefault="0057710E" w:rsidP="0057710E">
      <w:pPr>
        <w:spacing w:after="160" w:line="276" w:lineRule="auto"/>
        <w:ind w:firstLine="720"/>
        <w:jc w:val="both"/>
        <w:rPr>
          <w:rFonts w:ascii="Arial" w:hAnsi="Arial" w:cs="Arial"/>
          <w:sz w:val="24"/>
          <w:szCs w:val="24"/>
        </w:rPr>
      </w:pPr>
      <w:r w:rsidRPr="0057710E">
        <w:rPr>
          <w:rFonts w:ascii="Arial" w:hAnsi="Arial" w:cs="Arial"/>
          <w:sz w:val="24"/>
          <w:szCs w:val="24"/>
        </w:rPr>
        <w:t>Dalam rangka mendukung keberlangsungan UMKM sekaligus menyederhanakan kewajiban perpajakan, pemerintah mengeluarkan kebijakan Pajak Penghasilan (PPh) Final yang dikenakan atas peredaran bruto tertentu. Kebijakan ini secara khusus diatur dalam Peraturan Pemerintah (PP) Nomor 23 Tahun 2018 yang menetapkan tarif PPh Final sebesar 0,5% dari peredaran bruto. Penerapan tarif ini dimaksudkan untuk meringankan beban administrasi bagi pelaku UMKM, sekaligus memberi kemudahan dalam menghitung pajak terutang karena tidak mensyaratkan pembukuan yang kompleks. Seiring dengan perkembangan kebijakan fiskal, pemerintah kemudian mengeluarkan PP Nomor 55 Tahun 2022 yang turut mengatur mengenai penyesuaian ketentuan PPh, termasuk bagi UMKM, dengan memperhatikan kondisi perekonomian nasional dan kebutuhan untuk memperluas kepatuhan pajak. Ketentuan ini kemudian diturunkan lebih lanjut melalui Peraturan Menteri Keuangan maupun Surat Edaran DJP, yang mengatur teknis pelaksanaan, kriteria omzet, hingga fasilitas pembebasan pajak untuk omzet tertentu.</w:t>
      </w:r>
    </w:p>
    <w:p w14:paraId="5E1B7592" w14:textId="77777777" w:rsidR="0057710E" w:rsidRPr="0057710E" w:rsidRDefault="0057710E" w:rsidP="0057710E">
      <w:pPr>
        <w:spacing w:after="160" w:line="276" w:lineRule="auto"/>
        <w:ind w:firstLine="720"/>
        <w:jc w:val="both"/>
        <w:rPr>
          <w:rFonts w:ascii="Arial" w:hAnsi="Arial" w:cs="Arial"/>
          <w:sz w:val="24"/>
          <w:szCs w:val="24"/>
        </w:rPr>
      </w:pPr>
      <w:r w:rsidRPr="0057710E">
        <w:rPr>
          <w:rFonts w:ascii="Arial" w:hAnsi="Arial" w:cs="Arial"/>
          <w:sz w:val="24"/>
          <w:szCs w:val="24"/>
        </w:rPr>
        <w:t>Meskipun secara normatif PPh Final UMKM bertujuan memberikan kesederhanaan, pada praktiknya pelaporan pajak tetap membutuhkan proses administrasi yang sistematis. Proses tersebut meliputi pencatatan dan pengumpulan data, rekapitulasi data kedalam sistem internal, pembuatan kode billing, penyetoran sekaligus pelaporan SPT Masa melalui sistem administrasi perpajakan. Di sinilah peran konsultan pajak menjadi penting, khususnya bagi pelaku UMKM yang belum memiliki kemampuan atau sumber daya memadai untuk melaksanakan kewajiban tersebut secara mandiri. Konsultan pajak berfungsi tidak hanya sebagai pelaksana administratif, tetapi juga sebagai mitra strategis yang membantu memastikan kepatuhan klien terhadap ketentuan perpajakan yang berlaku. Namun, perubahan regulasi yang cukup dinamis serta digitalisasi sistem administrasi perpajakan seringkali menimbulkan tantangan baru, baik bagi wajib pajak maupun bagi konsultan yang menangani kepentingan klien.</w:t>
      </w:r>
    </w:p>
    <w:p w14:paraId="7E8D1F91" w14:textId="657415A2" w:rsidR="0057710E" w:rsidRDefault="0057710E" w:rsidP="0057710E">
      <w:pPr>
        <w:spacing w:after="160" w:line="276" w:lineRule="auto"/>
        <w:ind w:firstLine="720"/>
        <w:jc w:val="both"/>
        <w:rPr>
          <w:rFonts w:ascii="Arial" w:hAnsi="Arial" w:cs="Arial"/>
          <w:sz w:val="24"/>
          <w:szCs w:val="24"/>
        </w:rPr>
      </w:pPr>
      <w:r w:rsidRPr="0057710E">
        <w:rPr>
          <w:rFonts w:ascii="Arial" w:hAnsi="Arial" w:cs="Arial"/>
          <w:sz w:val="24"/>
          <w:szCs w:val="24"/>
        </w:rPr>
        <w:t xml:space="preserve">Berdasarkan kondisi tersebut, </w:t>
      </w:r>
      <w:r w:rsidR="00E16C48">
        <w:rPr>
          <w:rFonts w:ascii="Arial" w:hAnsi="Arial" w:cs="Arial"/>
          <w:sz w:val="24"/>
          <w:szCs w:val="24"/>
        </w:rPr>
        <w:t>pengabdian</w:t>
      </w:r>
      <w:r w:rsidRPr="0057710E">
        <w:rPr>
          <w:rFonts w:ascii="Arial" w:hAnsi="Arial" w:cs="Arial"/>
          <w:sz w:val="24"/>
          <w:szCs w:val="24"/>
        </w:rPr>
        <w:t xml:space="preserve"> ini menjadi relevan untuk dilakukan di Kilta Tax Consulting sebagai salah satu kantor konsultan pajak yang menangani klien UMKM. Studi kualitatif mengenai proses administrasi pelaporan PPh Final di kantor ini diharapkan dapat menggambarkan praktik nyata yang berlangsung di </w:t>
      </w:r>
      <w:r w:rsidRPr="0057710E">
        <w:rPr>
          <w:rFonts w:ascii="Arial" w:hAnsi="Arial" w:cs="Arial"/>
          <w:sz w:val="24"/>
          <w:szCs w:val="24"/>
        </w:rPr>
        <w:lastRenderedPageBreak/>
        <w:t xml:space="preserve">lapangan, mulai dari alur kerja, dokumen yang digunakan, hingga hambatan yang dihadapi dalam pelaksanaan kewajiban perpajakan UMKM. Temuan dari </w:t>
      </w:r>
      <w:r w:rsidR="00E16C48">
        <w:rPr>
          <w:rFonts w:ascii="Arial" w:hAnsi="Arial" w:cs="Arial"/>
          <w:sz w:val="24"/>
          <w:szCs w:val="24"/>
        </w:rPr>
        <w:t>pengabdian</w:t>
      </w:r>
      <w:r w:rsidRPr="0057710E">
        <w:rPr>
          <w:rFonts w:ascii="Arial" w:hAnsi="Arial" w:cs="Arial"/>
          <w:sz w:val="24"/>
          <w:szCs w:val="24"/>
        </w:rPr>
        <w:t xml:space="preserve"> ini diharapkan dapat memberikan gambaran empiris mengenai efektivitas kebijakan PPh Final, sekaligus memberikan rekomendasi perbaikan bagi proses administrasi perpajakan, baik dari sisi internal konsultan pajak maupun dari perspektif kebijakan fiskal pemerintah.</w:t>
      </w:r>
    </w:p>
    <w:p w14:paraId="0EC0F0CC" w14:textId="109A2E57" w:rsidR="005C672F" w:rsidRPr="00C5554D" w:rsidRDefault="005C672F" w:rsidP="00A50603">
      <w:pPr>
        <w:spacing w:after="160" w:line="276" w:lineRule="auto"/>
        <w:rPr>
          <w:rFonts w:ascii="Arial" w:hAnsi="Arial" w:cs="Arial"/>
          <w:b/>
          <w:bCs/>
          <w:sz w:val="24"/>
          <w:szCs w:val="24"/>
        </w:rPr>
      </w:pPr>
      <w:r w:rsidRPr="00C5554D">
        <w:rPr>
          <w:rFonts w:ascii="Arial" w:hAnsi="Arial" w:cs="Arial"/>
          <w:b/>
          <w:bCs/>
          <w:sz w:val="24"/>
          <w:szCs w:val="24"/>
        </w:rPr>
        <w:t>METODE</w:t>
      </w:r>
    </w:p>
    <w:p w14:paraId="107C2303" w14:textId="0F544E1A" w:rsidR="0057710E" w:rsidRPr="0057710E" w:rsidRDefault="0057710E" w:rsidP="0057710E">
      <w:pPr>
        <w:adjustRightInd w:val="0"/>
        <w:spacing w:after="160" w:line="276" w:lineRule="auto"/>
        <w:ind w:firstLine="720"/>
        <w:jc w:val="both"/>
        <w:rPr>
          <w:rFonts w:ascii="Arial" w:hAnsi="Arial" w:cs="Arial"/>
          <w:sz w:val="24"/>
          <w:szCs w:val="24"/>
        </w:rPr>
      </w:pPr>
      <w:r w:rsidRPr="0057710E">
        <w:rPr>
          <w:rFonts w:ascii="Arial" w:hAnsi="Arial" w:cs="Arial"/>
          <w:sz w:val="24"/>
          <w:szCs w:val="24"/>
        </w:rPr>
        <w:t xml:space="preserve">Pelaksanaan </w:t>
      </w:r>
      <w:r w:rsidR="00E16C48">
        <w:rPr>
          <w:rFonts w:ascii="Arial" w:hAnsi="Arial" w:cs="Arial"/>
          <w:sz w:val="24"/>
          <w:szCs w:val="24"/>
        </w:rPr>
        <w:t>Pengabdian</w:t>
      </w:r>
      <w:r w:rsidRPr="0057710E">
        <w:rPr>
          <w:rFonts w:ascii="Arial" w:hAnsi="Arial" w:cs="Arial"/>
          <w:sz w:val="24"/>
          <w:szCs w:val="24"/>
        </w:rPr>
        <w:t xml:space="preserve"> dilaksanakan di Kantor Konsultan Pajak Kilta Tax Consulting, yang menawarkan jasa Konsultasi Pajak, Jasa Pendampingan Perpajakan, Pelatihan (training) Perpajakan, dan Jasa Penyusunan Laporan Keuangan dan beralamat di Jl. Bung Karno Ruko No.6, Pagesangan, Kec. Mataram, Kota Mataram, Nusa Tenggara Barat.</w:t>
      </w:r>
    </w:p>
    <w:p w14:paraId="7A83A475" w14:textId="77777777" w:rsidR="0057710E" w:rsidRDefault="0057710E" w:rsidP="0057710E">
      <w:pPr>
        <w:adjustRightInd w:val="0"/>
        <w:spacing w:after="160" w:line="276" w:lineRule="auto"/>
        <w:ind w:firstLine="720"/>
        <w:jc w:val="both"/>
        <w:rPr>
          <w:rFonts w:ascii="Arial" w:hAnsi="Arial" w:cs="Arial"/>
          <w:sz w:val="24"/>
          <w:szCs w:val="24"/>
        </w:rPr>
      </w:pPr>
      <w:r w:rsidRPr="0057710E">
        <w:rPr>
          <w:rFonts w:ascii="Arial" w:hAnsi="Arial" w:cs="Arial"/>
          <w:sz w:val="24"/>
          <w:szCs w:val="24"/>
        </w:rPr>
        <w:t>Hari kerja di Kantor Konsultan Pajak Kilta Tax Consulting mulai dari hari senin sampai jum’at dengan jam kerja mulai jam 08:00 WITA hingga jam 16:00 WITA. Adapun waktu istirahat mulai pukul 12:00 WITA sampai dengan pukul 13:00 WITA.</w:t>
      </w:r>
    </w:p>
    <w:p w14:paraId="7EB68521" w14:textId="3F03012D" w:rsidR="001C48AA" w:rsidRPr="00AE730B" w:rsidRDefault="005C672F" w:rsidP="004E429A">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4D24DB0A" w14:textId="5DCE3994" w:rsidR="00676DFF" w:rsidRDefault="00EE31FA"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Dalam pelaksanaan administrasi PPh Final UMKM, Kantor Konsultan Pajak KILTA Tax Consulting menerapkan pembagian tugas yang terstruktur antara konsultan pajak, staf administrasi, dan mahasiswa </w:t>
      </w:r>
      <w:r w:rsidR="00E16C48">
        <w:rPr>
          <w:rFonts w:ascii="Arial" w:hAnsi="Arial" w:cs="Arial"/>
        </w:rPr>
        <w:t>pengabdian</w:t>
      </w:r>
      <w:r w:rsidR="0057710E" w:rsidRPr="0057710E">
        <w:rPr>
          <w:rFonts w:ascii="Arial" w:hAnsi="Arial" w:cs="Arial"/>
        </w:rPr>
        <w:t>. Setiap pihak memiliki tanggung jawab yang saling melengkapi sehingga proses administrasi pajak dapat berjalan efektif, akurat, dan sesuai dengan ketentuan terbaru dalam Coretax Administration System</w:t>
      </w:r>
      <w:r w:rsidR="00676DFF">
        <w:rPr>
          <w:rFonts w:ascii="Arial" w:hAnsi="Arial" w:cs="Arial"/>
        </w:rPr>
        <w:t>.</w:t>
      </w:r>
    </w:p>
    <w:p w14:paraId="3A42CCB8" w14:textId="77777777" w:rsidR="00676DFF" w:rsidRDefault="00676DFF"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Konsultan pajak berperan sebagai pengarah dan pengawas utama dalam seluruh proses administrasi. Konsultan memastikan bahwa setiap tahap mulai dari pengumpulan data omzet, rekapitulasi, hingga penyetoran pajak dilakukan sesuai peraturan perpajakan yang berlaku, khususnya ketentuan PPh Final UMKM berdasarkan PP No. 23 Tahun 2018 dan mekanisme pelaporan otomatis melalui Coretax. Konsultan juga memberikan bimbingan teknis kepada staf dan mahasiswa terkait penggunaan sistem Coretax, melakukan pengecekan atas perhitungan pajak, serta memberikan persetujuan akhir sebelum kode billing dibuat dan pajak disetor. Selain itu, konsultan membantu memberi pemahaman kepada klien UMKM mengenai perubahan-perubahan aturan administrasi perpajakan agar wajib pajak tetap patuh dan tidak salah langkah.</w:t>
      </w:r>
    </w:p>
    <w:p w14:paraId="3711143D" w14:textId="77777777" w:rsidR="00E16C48" w:rsidRDefault="00676DFF"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Staf administrasi bertanggung jawab dalam pekerjaan teknis operasional, terutama dalam pengelolaan data dan penggunaan sistem perpajakan digital. Staf melakukan pencatatan dan rekapitulasi omzet berdasarkan dokumen yang diberikan klien, memastikan tidak ada transaksi yang terlewat atau tercatat ganda. Setelah data tervalidasi, staf membuat kode billing PPh Final UMKM melalui Coretax System dengan menggunakan KAP 411128 dan KJS 420. Staf juga memastikan bahwa penyetoran oleh wajib pajak atau pihak kantor telah menghasilkan Nomor Transaksi Penerimaan Negara (NTPN) yang sah. Seluruh bukti pembayaran kemudian diarsipkan secara sistematis </w:t>
      </w:r>
      <w:r w:rsidR="0057710E" w:rsidRPr="0057710E">
        <w:rPr>
          <w:rFonts w:ascii="Arial" w:hAnsi="Arial" w:cs="Arial"/>
        </w:rPr>
        <w:lastRenderedPageBreak/>
        <w:t>sebagai dokumen pendukung pelaporan.</w:t>
      </w:r>
    </w:p>
    <w:p w14:paraId="14A50533" w14:textId="741C2DE5"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t>Peserta pengabdian</w:t>
      </w:r>
      <w:r w:rsidR="0057710E" w:rsidRPr="0057710E">
        <w:rPr>
          <w:rFonts w:ascii="Arial" w:hAnsi="Arial" w:cs="Arial"/>
        </w:rPr>
        <w:t xml:space="preserve"> berperan dalam membantu proses verifikasi dan pencatatan data secara administratif. Mahasiswa melakukan pengecekan awal terhadap kelengkapan dokumen omzet yang diserahkan oleh klien, membantu menyusun rekap omzet bulanan, serta mendampingi staf administrasi dalam proses input data ke sistem digital internal. Di tahap pembuatan billing, mahasiswa mengamati dan mempelajari penggunaan Coretax System sebagai bagian dari pengembangan kompetensi teknis perpajakan. Mahasiswa juga membantu pengecekan keberhasilan penyetoran dengan memverifikasi kesesuaian data pembayaran dan memastikan NTPN tercatat dengan benar. Seluruh kegiatan ini dilakukan di bawah supervisi staf dan konsultan pajak untuk menjaga ketelitian dan integritas data.</w:t>
      </w:r>
    </w:p>
    <w:p w14:paraId="201618BC" w14:textId="19C53AC4" w:rsidR="0057710E" w:rsidRPr="0057710E"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Dengan pembagian peran yang jelas tersebut, proses administrasi PPh Final UMKM di KILTA Tax Consulting berjalan secara efektif dan terstruktur. Konsultan pajak memberikan arah dan validasi, staf administrasi menjalankan operasional teknis, dan mahasiswa </w:t>
      </w:r>
      <w:r>
        <w:rPr>
          <w:rFonts w:ascii="Arial" w:hAnsi="Arial" w:cs="Arial"/>
        </w:rPr>
        <w:t>pengabdian</w:t>
      </w:r>
      <w:r w:rsidR="0057710E" w:rsidRPr="0057710E">
        <w:rPr>
          <w:rFonts w:ascii="Arial" w:hAnsi="Arial" w:cs="Arial"/>
        </w:rPr>
        <w:t xml:space="preserve"> mendukung proses administratif sekaligus mendapatkan pengalaman praktis. Struktur kerja ini memungkinkan kantor konsultan menjaga kualitas layanan kepada klien, terutama di tengah peralihan sistem perpajakan menuju platform digital terintegrasi seperti Coretax.</w:t>
      </w:r>
    </w:p>
    <w:p w14:paraId="0ABFB9A5" w14:textId="7819A9CB" w:rsidR="0057710E" w:rsidRPr="00E16C48" w:rsidRDefault="0057710E" w:rsidP="0057710E">
      <w:pPr>
        <w:pStyle w:val="BodyText"/>
        <w:tabs>
          <w:tab w:val="left" w:pos="709"/>
        </w:tabs>
        <w:spacing w:after="160" w:line="276" w:lineRule="auto"/>
        <w:ind w:right="-278"/>
        <w:jc w:val="both"/>
        <w:rPr>
          <w:rFonts w:ascii="Arial" w:hAnsi="Arial" w:cs="Arial"/>
          <w:b/>
        </w:rPr>
      </w:pPr>
      <w:r w:rsidRPr="00E16C48">
        <w:rPr>
          <w:rFonts w:ascii="Arial" w:hAnsi="Arial" w:cs="Arial"/>
          <w:b/>
        </w:rPr>
        <w:t>Proses Administrasi Pelaporan PPh Final di KILTA Tax Consulting</w:t>
      </w:r>
    </w:p>
    <w:p w14:paraId="194E64A4" w14:textId="77777777" w:rsidR="00E16C48" w:rsidRDefault="0057710E" w:rsidP="0057710E">
      <w:pPr>
        <w:pStyle w:val="BodyText"/>
        <w:tabs>
          <w:tab w:val="left" w:pos="709"/>
        </w:tabs>
        <w:spacing w:after="160" w:line="276" w:lineRule="auto"/>
        <w:ind w:right="-278"/>
        <w:jc w:val="both"/>
        <w:rPr>
          <w:rFonts w:ascii="Arial" w:hAnsi="Arial" w:cs="Arial"/>
        </w:rPr>
      </w:pPr>
      <w:r w:rsidRPr="0057710E">
        <w:rPr>
          <w:rFonts w:ascii="Arial" w:hAnsi="Arial" w:cs="Arial"/>
        </w:rPr>
        <w:t xml:space="preserve">Proses administrasi pelaporan Pajak Penghasilan (PPh) Final bagi Usaha Mikro, Kecil, Menengah (UMKM) di Kantor Konsultan Pajak KILTA merupakan rangkaian kegiatan yang melibatkan tahapan pencatatan dan pengumpulan data, rekapitulasi data kedalam sistem internal, pembuatan kode billing, penyetoran sekaligus pelaporan SPT Masa secara sistematis sesuai dengan ketentuan Peraturan Pemerintah Nomor 23 Tahun 2018. Seluruh proses ini mencerminkan penerapan prinsip self-assessment system yang dibantu oleh konsultan pajak guna memastikan kepatuhan wajib pajak UMKM terhadap regulasi perpajakan. Berdasarkan hasil observasi selama </w:t>
      </w:r>
      <w:r w:rsidR="00E16C48">
        <w:rPr>
          <w:rFonts w:ascii="Arial" w:hAnsi="Arial" w:cs="Arial"/>
        </w:rPr>
        <w:t>pengabdian</w:t>
      </w:r>
      <w:r w:rsidRPr="0057710E">
        <w:rPr>
          <w:rFonts w:ascii="Arial" w:hAnsi="Arial" w:cs="Arial"/>
        </w:rPr>
        <w:t xml:space="preserve">, setiap tahap pelaporan pajak di KILTA dijalankan secara terstruktur dengan pembagian peran antara staf, konsultan senior, serta mahasiswa </w:t>
      </w:r>
      <w:r w:rsidR="00E16C48">
        <w:rPr>
          <w:rFonts w:ascii="Arial" w:hAnsi="Arial" w:cs="Arial"/>
        </w:rPr>
        <w:t>pengabdian</w:t>
      </w:r>
      <w:r w:rsidRPr="0057710E">
        <w:rPr>
          <w:rFonts w:ascii="Arial" w:hAnsi="Arial" w:cs="Arial"/>
        </w:rPr>
        <w:t xml:space="preserve"> yang berpartisipasi dalam kegiatan administatif.</w:t>
      </w:r>
    </w:p>
    <w:p w14:paraId="085CDBEB" w14:textId="6F77AEE8" w:rsidR="0057710E" w:rsidRPr="0057710E"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Berikut tahapan Proses Administrasi Pelaporan PPh Final UMKM di Kantor Konsultan KILTA Tax Consulting:</w:t>
      </w:r>
    </w:p>
    <w:p w14:paraId="0CF560D4" w14:textId="77777777" w:rsidR="00E16C48" w:rsidRDefault="0057710E" w:rsidP="0057710E">
      <w:pPr>
        <w:pStyle w:val="BodyText"/>
        <w:numPr>
          <w:ilvl w:val="0"/>
          <w:numId w:val="9"/>
        </w:numPr>
        <w:tabs>
          <w:tab w:val="left" w:pos="709"/>
        </w:tabs>
        <w:spacing w:after="160" w:line="276" w:lineRule="auto"/>
        <w:ind w:right="-278"/>
        <w:jc w:val="both"/>
        <w:rPr>
          <w:rFonts w:ascii="Arial" w:hAnsi="Arial" w:cs="Arial"/>
        </w:rPr>
      </w:pPr>
      <w:r w:rsidRPr="0057710E">
        <w:rPr>
          <w:rFonts w:ascii="Arial" w:hAnsi="Arial" w:cs="Arial"/>
        </w:rPr>
        <w:t>Pencatatan dan Pengumpulan Data</w:t>
      </w:r>
    </w:p>
    <w:p w14:paraId="1C8F0401" w14:textId="510A2334" w:rsidR="0057710E" w:rsidRPr="00E16C48" w:rsidRDefault="0057710E" w:rsidP="00E16C48">
      <w:pPr>
        <w:pStyle w:val="BodyText"/>
        <w:tabs>
          <w:tab w:val="left" w:pos="709"/>
        </w:tabs>
        <w:spacing w:after="160" w:line="276" w:lineRule="auto"/>
        <w:ind w:left="720" w:right="-278"/>
        <w:jc w:val="both"/>
        <w:rPr>
          <w:rFonts w:ascii="Arial" w:hAnsi="Arial" w:cs="Arial"/>
        </w:rPr>
      </w:pPr>
      <w:r w:rsidRPr="00E16C48">
        <w:rPr>
          <w:rFonts w:ascii="Arial" w:hAnsi="Arial" w:cs="Arial"/>
        </w:rPr>
        <w:t xml:space="preserve">Tahap awal proses administrasi PPh Final UMKM di Kantor Konsultan Pajak KILTA Tax Consulting dimulai dari pengumpulan data omzet yang diperoleh dari laporan penjualan bulanan, buku kas, dan mutasi rekening bank milik klien. Staf administrasi bersama mahasiswa </w:t>
      </w:r>
      <w:r w:rsidR="00E16C48" w:rsidRPr="00E16C48">
        <w:rPr>
          <w:rFonts w:ascii="Arial" w:hAnsi="Arial" w:cs="Arial"/>
        </w:rPr>
        <w:t>pengabdian</w:t>
      </w:r>
      <w:r w:rsidRPr="00E16C48">
        <w:rPr>
          <w:rFonts w:ascii="Arial" w:hAnsi="Arial" w:cs="Arial"/>
        </w:rPr>
        <w:t xml:space="preserve"> melakukan verifikasi terhadap seluruh dokumen tersebut untuk memastikan kesesuaian dan kelengkapan data. Proses verifikasi ini penting dilakukan karena besaran PPh Final UMKM 0,5% </w:t>
      </w:r>
      <w:r w:rsidRPr="00E16C48">
        <w:rPr>
          <w:rFonts w:ascii="Arial" w:hAnsi="Arial" w:cs="Arial"/>
        </w:rPr>
        <w:lastRenderedPageBreak/>
        <w:t>dihitung secara langsung dari omzet bruto sesuai ketentuan PP No. 23 Tahun 2018. Setelah semua data dikonfirmasi valid, angka omzet dicatat dan disusun kembali dalam format rekapitulasi internal, yang kemudian menjadi dasar untuk proses administrasi pada tahapan berikutnya.</w:t>
      </w:r>
    </w:p>
    <w:p w14:paraId="62EB2008" w14:textId="77777777" w:rsidR="00E16C48" w:rsidRDefault="0057710E" w:rsidP="0057710E">
      <w:pPr>
        <w:pStyle w:val="BodyText"/>
        <w:numPr>
          <w:ilvl w:val="0"/>
          <w:numId w:val="9"/>
        </w:numPr>
        <w:tabs>
          <w:tab w:val="left" w:pos="709"/>
        </w:tabs>
        <w:spacing w:after="160" w:line="276" w:lineRule="auto"/>
        <w:ind w:right="-278"/>
        <w:jc w:val="both"/>
        <w:rPr>
          <w:rFonts w:ascii="Arial" w:hAnsi="Arial" w:cs="Arial"/>
        </w:rPr>
      </w:pPr>
      <w:r w:rsidRPr="0057710E">
        <w:rPr>
          <w:rFonts w:ascii="Arial" w:hAnsi="Arial" w:cs="Arial"/>
        </w:rPr>
        <w:t>Rekapitulasi Data dan ke Sistem Administrasi Internal</w:t>
      </w:r>
    </w:p>
    <w:p w14:paraId="7583B655" w14:textId="77777777" w:rsidR="00E16C48" w:rsidRDefault="0057710E" w:rsidP="00E16C48">
      <w:pPr>
        <w:pStyle w:val="BodyText"/>
        <w:tabs>
          <w:tab w:val="left" w:pos="709"/>
        </w:tabs>
        <w:spacing w:after="160" w:line="276" w:lineRule="auto"/>
        <w:ind w:left="720" w:right="-278"/>
        <w:jc w:val="both"/>
        <w:rPr>
          <w:rFonts w:ascii="Arial" w:hAnsi="Arial" w:cs="Arial"/>
        </w:rPr>
      </w:pPr>
      <w:r w:rsidRPr="00E16C48">
        <w:rPr>
          <w:rFonts w:ascii="Arial" w:hAnsi="Arial" w:cs="Arial"/>
        </w:rPr>
        <w:t xml:space="preserve">Data omzet yang telah diverifikasi selanjutnya dimasukkan ke dalam sistem administrasi internal kantor konsultan. Proses rekapitulasi ini bertujuan untuk memastikan bahwa seluruh transaksi penjualan tercatat secara lengkap dan terstruktur berdasarkan masing-masing masa pajak. Rekapitulasi dilakukan dengan teliti untuk menghindari kesalahan pencatatan seperti duplikasi transaksi atau data yang terlewat. Pada tahap ini, konsultan pajak memeriksa kembali hasil rekapitulasi yang telah disiapkan oleh staf dan mahasiswa </w:t>
      </w:r>
      <w:r w:rsidR="00E16C48" w:rsidRPr="00E16C48">
        <w:rPr>
          <w:rFonts w:ascii="Arial" w:hAnsi="Arial" w:cs="Arial"/>
        </w:rPr>
        <w:t>pengabdian</w:t>
      </w:r>
      <w:r w:rsidRPr="00E16C48">
        <w:rPr>
          <w:rFonts w:ascii="Arial" w:hAnsi="Arial" w:cs="Arial"/>
        </w:rPr>
        <w:t xml:space="preserve"> guna memastikan bahwa data tersebut akurat sebelum memasuki tahap perhitungan pajak dan pembuatan kode billing melalui Coretax System.</w:t>
      </w:r>
    </w:p>
    <w:p w14:paraId="498FDDA3" w14:textId="77777777" w:rsidR="00E16C48" w:rsidRDefault="0057710E" w:rsidP="0057710E">
      <w:pPr>
        <w:pStyle w:val="BodyText"/>
        <w:numPr>
          <w:ilvl w:val="0"/>
          <w:numId w:val="9"/>
        </w:numPr>
        <w:tabs>
          <w:tab w:val="left" w:pos="709"/>
        </w:tabs>
        <w:spacing w:after="160" w:line="276" w:lineRule="auto"/>
        <w:ind w:right="-278"/>
        <w:jc w:val="both"/>
        <w:rPr>
          <w:rFonts w:ascii="Arial" w:hAnsi="Arial" w:cs="Arial"/>
        </w:rPr>
      </w:pPr>
      <w:r w:rsidRPr="0057710E">
        <w:rPr>
          <w:rFonts w:ascii="Arial" w:hAnsi="Arial" w:cs="Arial"/>
        </w:rPr>
        <w:t>Pembuatan Kode Billing melalui Coretax System</w:t>
      </w:r>
    </w:p>
    <w:p w14:paraId="62DA4779" w14:textId="22E51629" w:rsidR="0057710E" w:rsidRPr="00E16C48" w:rsidRDefault="0057710E" w:rsidP="00E16C48">
      <w:pPr>
        <w:pStyle w:val="BodyText"/>
        <w:tabs>
          <w:tab w:val="left" w:pos="709"/>
        </w:tabs>
        <w:spacing w:after="160" w:line="276" w:lineRule="auto"/>
        <w:ind w:left="720" w:right="-278"/>
        <w:jc w:val="both"/>
        <w:rPr>
          <w:rFonts w:ascii="Arial" w:hAnsi="Arial" w:cs="Arial"/>
        </w:rPr>
      </w:pPr>
      <w:r w:rsidRPr="00E16C48">
        <w:rPr>
          <w:rFonts w:ascii="Arial" w:hAnsi="Arial" w:cs="Arial"/>
        </w:rPr>
        <w:t>Setelah proses rekapitulasi selesai, staf administrasi melakukan pembuatan kode billing melalui platform Coretax System yang kini menjadi sistem utama dalam administrasi perpajakan. Pada menu Layanan Mandiri Kode Billing, staf memasukkan Kode Akun Pajak (KAP) 411128 dan Kode Jenis Setoran (KJS) 420 untuk pembayaran PPh Final UMKM setor sendiri. Input data dilakukan berdasarkan omzet yang telah direkapitulasi sebelumnya. Setelah semua data terisi, sistem akan menghasilkan ID billing yang dapat digunakan untuk melakukan pembayaran pajak melalui berbagai kanal perbankan seperti ATM, mobile banking, internet banking, atau teller bank persepsi yang telah terintegrasi dengan sistem perpajakan nasional.</w:t>
      </w:r>
    </w:p>
    <w:p w14:paraId="6B71E3C7" w14:textId="77777777" w:rsidR="00E16C48" w:rsidRDefault="0057710E" w:rsidP="0057710E">
      <w:pPr>
        <w:pStyle w:val="BodyText"/>
        <w:numPr>
          <w:ilvl w:val="0"/>
          <w:numId w:val="9"/>
        </w:numPr>
        <w:tabs>
          <w:tab w:val="left" w:pos="709"/>
        </w:tabs>
        <w:spacing w:after="160" w:line="276" w:lineRule="auto"/>
        <w:ind w:right="-278"/>
        <w:jc w:val="both"/>
        <w:rPr>
          <w:rFonts w:ascii="Arial" w:hAnsi="Arial" w:cs="Arial"/>
        </w:rPr>
      </w:pPr>
      <w:r w:rsidRPr="0057710E">
        <w:rPr>
          <w:rFonts w:ascii="Arial" w:hAnsi="Arial" w:cs="Arial"/>
        </w:rPr>
        <w:t>Penyetoran PPh Final UMKM</w:t>
      </w:r>
    </w:p>
    <w:p w14:paraId="4B9267C0" w14:textId="1CA11A12" w:rsidR="0057710E" w:rsidRPr="00E16C48" w:rsidRDefault="0057710E" w:rsidP="00E16C48">
      <w:pPr>
        <w:pStyle w:val="BodyText"/>
        <w:tabs>
          <w:tab w:val="left" w:pos="709"/>
        </w:tabs>
        <w:spacing w:after="160" w:line="276" w:lineRule="auto"/>
        <w:ind w:left="720" w:right="-278"/>
        <w:jc w:val="both"/>
        <w:rPr>
          <w:rFonts w:ascii="Arial" w:hAnsi="Arial" w:cs="Arial"/>
        </w:rPr>
      </w:pPr>
      <w:r w:rsidRPr="00E16C48">
        <w:rPr>
          <w:rFonts w:ascii="Arial" w:hAnsi="Arial" w:cs="Arial"/>
        </w:rPr>
        <w:t>Tahap berikutnya adalah penyetoran pajak berdasarkan ID billing yang telah diterbitkan melalui Coretax. Pembayaran dilakukan oleh wajib pajak atau staf kantor konsultan melalui kanal perbankan yang dipilih. Setelah transaksi berhasil, sistem perbankan mengeluarkan Nomor Transaksi Penerimaan Negara (NTPN) sebagai bukti bahwa pembayaran telah masuk ke kas negara. NTPN tersebut secara otomatis tercatat dalam sistem Coretax, sehingga bukti pembayaran ini menjadi arsip penting yang disimpan oleh kantor konsultan untuk memastikan bahwa proses penyetoran telah dilakukan dengan benar sesuai masa pajaknya.</w:t>
      </w:r>
    </w:p>
    <w:p w14:paraId="44B9E316" w14:textId="77777777" w:rsidR="00E16C48" w:rsidRDefault="0057710E" w:rsidP="0057710E">
      <w:pPr>
        <w:pStyle w:val="BodyText"/>
        <w:numPr>
          <w:ilvl w:val="0"/>
          <w:numId w:val="9"/>
        </w:numPr>
        <w:tabs>
          <w:tab w:val="left" w:pos="709"/>
        </w:tabs>
        <w:spacing w:after="160" w:line="276" w:lineRule="auto"/>
        <w:ind w:right="-278"/>
        <w:jc w:val="both"/>
        <w:rPr>
          <w:rFonts w:ascii="Arial" w:hAnsi="Arial" w:cs="Arial"/>
        </w:rPr>
      </w:pPr>
      <w:r w:rsidRPr="0057710E">
        <w:rPr>
          <w:rFonts w:ascii="Arial" w:hAnsi="Arial" w:cs="Arial"/>
        </w:rPr>
        <w:t>Pelaporan SPT Masa PPh Final Melalui CoreTax</w:t>
      </w:r>
    </w:p>
    <w:p w14:paraId="6B3EDB82" w14:textId="5818A68A" w:rsidR="0057710E" w:rsidRPr="00E16C48" w:rsidRDefault="0057710E" w:rsidP="00E16C48">
      <w:pPr>
        <w:pStyle w:val="BodyText"/>
        <w:tabs>
          <w:tab w:val="left" w:pos="709"/>
        </w:tabs>
        <w:spacing w:after="160" w:line="276" w:lineRule="auto"/>
        <w:ind w:left="720" w:right="-278"/>
        <w:jc w:val="both"/>
        <w:rPr>
          <w:rFonts w:ascii="Arial" w:hAnsi="Arial" w:cs="Arial"/>
        </w:rPr>
      </w:pPr>
      <w:r w:rsidRPr="00E16C48">
        <w:rPr>
          <w:rFonts w:ascii="Arial" w:hAnsi="Arial" w:cs="Arial"/>
        </w:rPr>
        <w:t xml:space="preserve">Pada ketentuan terbaru berbasis Coretax System, pelaporan SPT Masa PPh Final UMKM tidak lagi dilakukan melalui mekanisme unggah CSV atau pengisian SPT pada DJP Online. Sistem Coretax telah mengintegrasikan fungsi penyetoran dan pelaporan, sehingga ketika pembayaran dilakukan dan NTPN tercatat, masa </w:t>
      </w:r>
      <w:r w:rsidRPr="00E16C48">
        <w:rPr>
          <w:rFonts w:ascii="Arial" w:hAnsi="Arial" w:cs="Arial"/>
        </w:rPr>
        <w:lastRenderedPageBreak/>
        <w:t>pajak tersebut secara otomatis dianggap telah dilaporkan kepada Direktorat Jenderal Pajak. Dengan mekanisme ini, proses administrasi menjadi lebih sederhana karena wajib pajak tidak perlu lagi melakukan pelaporan manual. Tugas konsultan pajak hanya memastikan bahwa seluruh transaksi pembayaran berhasil tercatat dalam Coretax dan status pelaporan telah tersampaikan melalui sistem.</w:t>
      </w:r>
    </w:p>
    <w:p w14:paraId="65780256" w14:textId="2A498C80" w:rsidR="0057710E" w:rsidRPr="0057710E"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Secara keseluruhan, proses administrasi pelaporan PPh Final UMKM di Kantor Konsultan Pajak KILTA menunjukkan penerapan prinsip administrasi perpajakan moderen yang menekankan pada ketertiban dokumentasi, efisiensi digital, dan validasi berlapis. Setiap tahapan pelaporan mulai dari tahapan pencatatan dan pengumpulan data, rekapitulasi data kedalam sistem internal, pembuatan kode billing, penyetoran sekaligus pelaporan SPT Masa dilaksanakan secara terstruktur dan terkoordinasi antara konsultan, staf, dan mahasiswa </w:t>
      </w:r>
      <w:r>
        <w:rPr>
          <w:rFonts w:ascii="Arial" w:hAnsi="Arial" w:cs="Arial"/>
        </w:rPr>
        <w:t>pengabdian</w:t>
      </w:r>
      <w:r w:rsidR="0057710E" w:rsidRPr="0057710E">
        <w:rPr>
          <w:rFonts w:ascii="Arial" w:hAnsi="Arial" w:cs="Arial"/>
        </w:rPr>
        <w:t xml:space="preserve">. Kolaborasi tersebut memastikan bahwa seluruh proses berjalan sesuai ketentuan perpajakan dan mencerminkan profesionalisme kerja di bidang administrasi pajak. Hal ini sejalan dengan hasil </w:t>
      </w:r>
      <w:r>
        <w:rPr>
          <w:rFonts w:ascii="Arial" w:hAnsi="Arial" w:cs="Arial"/>
        </w:rPr>
        <w:t>pengabdian</w:t>
      </w:r>
      <w:r w:rsidR="0057710E" w:rsidRPr="0057710E">
        <w:rPr>
          <w:rFonts w:ascii="Arial" w:hAnsi="Arial" w:cs="Arial"/>
        </w:rPr>
        <w:t xml:space="preserve"> Putri dan Hidayat (2022) yang menegaskan bahwa peran konsultan pajak memiliki pengaruh signifikan dalam meningkatkan kepatuhan sukarela UMKM melalui pembinaan administrasi dan pendampingan teknis. Dengan demikian, keberadaan KILTA sebagai konsultan pajak berperan penting dalam memastikan bahwa pelaporan PPh Final UMKM tidak hanya tepat waktu dan sesuai ketentuan, tetapi juga mencerminkan tata kelola administrasi perpajakan yang akuntabel dan profesional.</w:t>
      </w:r>
    </w:p>
    <w:p w14:paraId="47FE7DAD" w14:textId="629FC53E" w:rsidR="0057710E" w:rsidRPr="00E16C48" w:rsidRDefault="0057710E" w:rsidP="0057710E">
      <w:pPr>
        <w:pStyle w:val="BodyText"/>
        <w:tabs>
          <w:tab w:val="left" w:pos="709"/>
        </w:tabs>
        <w:spacing w:after="160" w:line="276" w:lineRule="auto"/>
        <w:ind w:right="-278"/>
        <w:jc w:val="both"/>
        <w:rPr>
          <w:rFonts w:ascii="Arial" w:hAnsi="Arial" w:cs="Arial"/>
          <w:b/>
        </w:rPr>
      </w:pPr>
      <w:r w:rsidRPr="00E16C48">
        <w:rPr>
          <w:rFonts w:ascii="Arial" w:hAnsi="Arial" w:cs="Arial"/>
          <w:b/>
        </w:rPr>
        <w:t>Hambatan dan Solusi yang Ditemukan</w:t>
      </w:r>
    </w:p>
    <w:p w14:paraId="195F9898" w14:textId="77777777"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Dalam penerapan administrasi PPh Final UMKM melalui Coretax System, salah satu hambatan utama yang ditemukan selama pelaksanaan </w:t>
      </w:r>
      <w:r>
        <w:rPr>
          <w:rFonts w:ascii="Arial" w:hAnsi="Arial" w:cs="Arial"/>
        </w:rPr>
        <w:t>pengabdian</w:t>
      </w:r>
      <w:r w:rsidR="0057710E" w:rsidRPr="0057710E">
        <w:rPr>
          <w:rFonts w:ascii="Arial" w:hAnsi="Arial" w:cs="Arial"/>
        </w:rPr>
        <w:t xml:space="preserve"> adalah gangguan teknis pada sistem digital. Temuan ini sejalan dengan </w:t>
      </w:r>
      <w:r>
        <w:rPr>
          <w:rFonts w:ascii="Arial" w:hAnsi="Arial" w:cs="Arial"/>
        </w:rPr>
        <w:t>pengabdian</w:t>
      </w:r>
      <w:r w:rsidR="0057710E" w:rsidRPr="0057710E">
        <w:rPr>
          <w:rFonts w:ascii="Arial" w:hAnsi="Arial" w:cs="Arial"/>
        </w:rPr>
        <w:t xml:space="preserve"> Prasetyo &amp; Lestari (2023) yang menjelaskan bahwa transformasi digital perpajakan di Indonesia masih menghadapi tantangan berupa keterbatasan infrastruktur dan stabilitas sistem, terutama pada jam-jam padat administrasi. Beberapa kali Coretax tidak dapat diakses secara optimal, menyebabkan proses pembuatan kode billing maupun verifikasi data harus ditunda. Kondisi ini menunjukkan bahwa meskipun sistem perpajakan telah beralih ke platform digital terintegrasi, kesiapan teknis masih menjadi faktor penentu dalam kelancaran administrasi perpajakan.</w:t>
      </w:r>
    </w:p>
    <w:p w14:paraId="3A610212" w14:textId="77777777"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Hambatan berikutnya berasal dari ketidaksesuaian data omzet antara laporan penjualan UMKM dan mutasi rekening bank. </w:t>
      </w:r>
      <w:r>
        <w:rPr>
          <w:rFonts w:ascii="Arial" w:hAnsi="Arial" w:cs="Arial"/>
        </w:rPr>
        <w:t>Pengabdian</w:t>
      </w:r>
      <w:r w:rsidR="0057710E" w:rsidRPr="0057710E">
        <w:rPr>
          <w:rFonts w:ascii="Arial" w:hAnsi="Arial" w:cs="Arial"/>
        </w:rPr>
        <w:t xml:space="preserve"> Hidayat &amp; Dewi (2021) menyebutkan bahwa sebagian besar UMKM di Indonesia masih menghadapi kelemahan dalam pencatatan keuangan, salah satunya karena pencatatan dilakukan secara manual atau tidak konsisten. Hal ini juga ditemukan dalam proses </w:t>
      </w:r>
      <w:r>
        <w:rPr>
          <w:rFonts w:ascii="Arial" w:hAnsi="Arial" w:cs="Arial"/>
        </w:rPr>
        <w:t>pengabdian</w:t>
      </w:r>
      <w:r w:rsidR="0057710E" w:rsidRPr="0057710E">
        <w:rPr>
          <w:rFonts w:ascii="Arial" w:hAnsi="Arial" w:cs="Arial"/>
        </w:rPr>
        <w:t xml:space="preserve">, di mana beberapa klien UMKM belum melakukan pemisahan antara keuangan usaha dan keuangan pribadi sehingga menyebabkan laporan omzet tidak sepenuhnya merefleksikan transaksi sebenarnya. Ketidaksesuaian ini mengharuskan staf administrasi dan mahasiswa </w:t>
      </w:r>
      <w:r>
        <w:rPr>
          <w:rFonts w:ascii="Arial" w:hAnsi="Arial" w:cs="Arial"/>
        </w:rPr>
        <w:t>pengabdian</w:t>
      </w:r>
      <w:r w:rsidR="0057710E" w:rsidRPr="0057710E">
        <w:rPr>
          <w:rFonts w:ascii="Arial" w:hAnsi="Arial" w:cs="Arial"/>
        </w:rPr>
        <w:t xml:space="preserve"> melakukan verifikasi berulang yang cukup </w:t>
      </w:r>
      <w:r w:rsidR="0057710E" w:rsidRPr="0057710E">
        <w:rPr>
          <w:rFonts w:ascii="Arial" w:hAnsi="Arial" w:cs="Arial"/>
        </w:rPr>
        <w:lastRenderedPageBreak/>
        <w:t>memakan waktu.</w:t>
      </w:r>
    </w:p>
    <w:p w14:paraId="432C4C08" w14:textId="77777777"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Selain itu, rendahnya pemahaman wajib pajak UMKM terkait perubahan mekanisme administrasi dari DJP Online ke Coretax turut menjadi hambatan yang signifikan. Hal ini sejalan dengan temuan Sari &amp; Dewi (2021) yang menyebutkan bahwa tingkat literasi perpajakan digital UMKM di Indonesia masih rendah dan membutuhkan pendampingan intensif. Beberapa klien belum memahami bahwa pelaporan SPT Masa kini dilakukan secara otomatis setelah penyetoran, sehingga menimbulkan kebingungan tentang bukti pelaporan serta status pemenuhan kewajiban pajak. Kondisi ini menunjukkan bahwa selain tantangan teknis, adaptasi perilaku dan pemahaman wajib pajak juga menjadi faktor penting dalam keberhasilan implementasi sistem administrasi berbasis digital.</w:t>
      </w:r>
    </w:p>
    <w:p w14:paraId="55239E0F" w14:textId="77777777"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Untuk mengatasi hambatan terkait gangguan teknis Coretax, KILTA Tax Consulting menerapkan strategi penjadwalan yang fleksibel dan selalu memperbarui informasi perkembangan sistem berdasarkan publikasi resmi DJP. Langkah ini sejalan dengan rekomendasi </w:t>
      </w:r>
      <w:r>
        <w:rPr>
          <w:rFonts w:ascii="Arial" w:hAnsi="Arial" w:cs="Arial"/>
        </w:rPr>
        <w:t>pengabdian</w:t>
      </w:r>
      <w:r w:rsidR="0057710E" w:rsidRPr="0057710E">
        <w:rPr>
          <w:rFonts w:ascii="Arial" w:hAnsi="Arial" w:cs="Arial"/>
        </w:rPr>
        <w:t xml:space="preserve"> Putri &amp; Hidayat (2022) yang mendorong konsultan pajak untuk menerapkan adaptive workflow dalam menghadapi digitalisasi perpajakan, terutama ketika sistem sedang dalam tahap transisi. Dengan pemantauan sistem yang dilakukan secara berkala, staf dapat menyesuaikan waktu pembuatan billing dan mengoptimalkan waktu kerja di luar jam sibuk sistem.</w:t>
      </w:r>
    </w:p>
    <w:p w14:paraId="29A0D1C3" w14:textId="77777777" w:rsidR="00E16C48"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Untuk mengatasi ketidaksesuaian data omzet, konsultan pajak menerapkan mekanisme verifikasi berlapis sesuai dengan praktik yang direkomendasikan oleh Rohmah &amp; Prasetyo (2021), yang menekankan pentingnya cross-checking antara laporan omzet dengan rekening bank guna meminimalkan kesalahan perhitungan pajak. Mahasiswa </w:t>
      </w:r>
      <w:r>
        <w:rPr>
          <w:rFonts w:ascii="Arial" w:hAnsi="Arial" w:cs="Arial"/>
        </w:rPr>
        <w:t>pengabdian</w:t>
      </w:r>
      <w:r w:rsidR="0057710E" w:rsidRPr="0057710E">
        <w:rPr>
          <w:rFonts w:ascii="Arial" w:hAnsi="Arial" w:cs="Arial"/>
        </w:rPr>
        <w:t xml:space="preserve"> membantu dalam proses pencocokan awal, kemudian staf administrasi melakukan pemeriksaan lanjutan dan konsultan pajak melakukan validasi akhir. Pendekatan ini terbukti efektif dalam memastikan bahwa data yang digunakan dalam pembuatan billing adalah data yang akurat dan dapat dipertanggungjawabkan.</w:t>
      </w:r>
    </w:p>
    <w:p w14:paraId="175632A0" w14:textId="199BEBAD" w:rsidR="0057710E" w:rsidRDefault="00E16C48" w:rsidP="0057710E">
      <w:pPr>
        <w:pStyle w:val="BodyText"/>
        <w:tabs>
          <w:tab w:val="left" w:pos="709"/>
        </w:tabs>
        <w:spacing w:after="160" w:line="276" w:lineRule="auto"/>
        <w:ind w:right="-278"/>
        <w:jc w:val="both"/>
        <w:rPr>
          <w:rFonts w:ascii="Arial" w:hAnsi="Arial" w:cs="Arial"/>
        </w:rPr>
      </w:pPr>
      <w:r>
        <w:rPr>
          <w:rFonts w:ascii="Arial" w:hAnsi="Arial" w:cs="Arial"/>
        </w:rPr>
        <w:tab/>
      </w:r>
      <w:r w:rsidR="0057710E" w:rsidRPr="0057710E">
        <w:rPr>
          <w:rFonts w:ascii="Arial" w:hAnsi="Arial" w:cs="Arial"/>
        </w:rPr>
        <w:t xml:space="preserve">Sementara itu, untuk menghadapi rendahnya literasi perpajakan digital klien UMKM, KILTA Tax Consulting memberikan edukasi tambahan berupa penjelasan langsung, panduan sederhana, dan contoh bukti penyetoran yang benar. Upaya ini sejalan dengan </w:t>
      </w:r>
      <w:r>
        <w:rPr>
          <w:rFonts w:ascii="Arial" w:hAnsi="Arial" w:cs="Arial"/>
        </w:rPr>
        <w:t>pengabdian</w:t>
      </w:r>
      <w:r w:rsidR="0057710E" w:rsidRPr="0057710E">
        <w:rPr>
          <w:rFonts w:ascii="Arial" w:hAnsi="Arial" w:cs="Arial"/>
        </w:rPr>
        <w:t xml:space="preserve"> Rahayu (2022) yang menegaskan bahwa peran konsultan pajak sangat penting dalam meningkatkan pemahaman dan kepatuhan UMKM melalui pendampingan yang intensif. Dengan memberikan pemahaman mengenai alur Coretax termasuk bagaimana pelaporan otomatis dijalankan setelah penyetoran klien menjadi lebih memahami kewajiban mereka dan tidak lagi mengalami kebingungan dalam proses pelaporan. Langkah edukatif ini menjadi kunci dalam memperlancar administrasi perpajakan sekaligus mendukung transisi UMKM menuju ekosistem perpajakan digital yang lebih moderen.</w:t>
      </w:r>
    </w:p>
    <w:p w14:paraId="2D6E389A" w14:textId="77777777" w:rsidR="0057710E" w:rsidRDefault="0057710E" w:rsidP="0057710E">
      <w:pPr>
        <w:pStyle w:val="BodyText"/>
        <w:tabs>
          <w:tab w:val="left" w:pos="709"/>
        </w:tabs>
        <w:spacing w:after="160" w:line="276" w:lineRule="auto"/>
        <w:ind w:right="-278"/>
        <w:jc w:val="both"/>
        <w:rPr>
          <w:rFonts w:ascii="Arial" w:hAnsi="Arial" w:cs="Arial"/>
        </w:rPr>
      </w:pPr>
    </w:p>
    <w:p w14:paraId="1B6B2E2F" w14:textId="77777777" w:rsidR="0057710E" w:rsidRDefault="0057710E" w:rsidP="0057710E">
      <w:pPr>
        <w:pStyle w:val="BodyText"/>
        <w:tabs>
          <w:tab w:val="left" w:pos="709"/>
        </w:tabs>
        <w:spacing w:after="160" w:line="276" w:lineRule="auto"/>
        <w:ind w:right="-278"/>
        <w:jc w:val="both"/>
        <w:rPr>
          <w:rFonts w:ascii="Arial" w:hAnsi="Arial" w:cs="Arial"/>
        </w:rPr>
      </w:pPr>
    </w:p>
    <w:p w14:paraId="14B90DAA" w14:textId="77777777" w:rsidR="000B48D1" w:rsidRDefault="000B48D1" w:rsidP="000B48D1">
      <w:pPr>
        <w:pStyle w:val="BodyText"/>
        <w:tabs>
          <w:tab w:val="left" w:pos="709"/>
        </w:tabs>
        <w:spacing w:after="160" w:line="276" w:lineRule="auto"/>
        <w:ind w:right="-278"/>
        <w:jc w:val="both"/>
        <w:rPr>
          <w:rFonts w:ascii="Arial" w:hAnsi="Arial" w:cs="Arial"/>
        </w:rPr>
      </w:pPr>
    </w:p>
    <w:p w14:paraId="36BF7155" w14:textId="7494A157" w:rsidR="00A75C1D" w:rsidRDefault="0057710E" w:rsidP="00406464">
      <w:pPr>
        <w:pStyle w:val="BodyText"/>
        <w:tabs>
          <w:tab w:val="left" w:pos="709"/>
        </w:tabs>
        <w:spacing w:after="160" w:line="276" w:lineRule="auto"/>
        <w:ind w:right="-278"/>
        <w:jc w:val="center"/>
        <w:rPr>
          <w:rFonts w:ascii="Arial" w:hAnsi="Arial" w:cs="Arial"/>
        </w:rPr>
      </w:pPr>
      <w:r>
        <w:rPr>
          <w:noProof/>
        </w:rPr>
        <w:drawing>
          <wp:inline distT="0" distB="0" distL="0" distR="0" wp14:anchorId="2659E558" wp14:editId="73498051">
            <wp:extent cx="2276475" cy="2352675"/>
            <wp:effectExtent l="0" t="0" r="9525" b="9525"/>
            <wp:docPr id="338768276" name="Picture 5"/>
            <wp:cNvGraphicFramePr/>
            <a:graphic xmlns:a="http://schemas.openxmlformats.org/drawingml/2006/main">
              <a:graphicData uri="http://schemas.openxmlformats.org/drawingml/2006/picture">
                <pic:pic xmlns:pic="http://schemas.openxmlformats.org/drawingml/2006/picture">
                  <pic:nvPicPr>
                    <pic:cNvPr id="338768276"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6475" cy="2352675"/>
                    </a:xfrm>
                    <a:prstGeom prst="rect">
                      <a:avLst/>
                    </a:prstGeom>
                  </pic:spPr>
                </pic:pic>
              </a:graphicData>
            </a:graphic>
          </wp:inline>
        </w:drawing>
      </w:r>
      <w:r w:rsidR="00406464">
        <w:rPr>
          <w:rFonts w:ascii="Arial" w:hAnsi="Arial" w:cs="Arial"/>
        </w:rPr>
        <w:t xml:space="preserve"> </w:t>
      </w:r>
      <w:r w:rsidR="00E16C48">
        <w:rPr>
          <w:rFonts w:ascii="Arial" w:hAnsi="Arial" w:cs="Arial"/>
        </w:rPr>
        <w:tab/>
      </w:r>
      <w:r>
        <w:rPr>
          <w:noProof/>
        </w:rPr>
        <w:drawing>
          <wp:inline distT="0" distB="0" distL="0" distR="0" wp14:anchorId="3F77FF18" wp14:editId="44FC18E4">
            <wp:extent cx="1933575" cy="2352675"/>
            <wp:effectExtent l="0" t="0" r="9525" b="9525"/>
            <wp:docPr id="1153541328" name="Picture 3"/>
            <wp:cNvGraphicFramePr/>
            <a:graphic xmlns:a="http://schemas.openxmlformats.org/drawingml/2006/main">
              <a:graphicData uri="http://schemas.openxmlformats.org/drawingml/2006/picture">
                <pic:pic xmlns:pic="http://schemas.openxmlformats.org/drawingml/2006/picture">
                  <pic:nvPicPr>
                    <pic:cNvPr id="1153541328"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2352675"/>
                    </a:xfrm>
                    <a:prstGeom prst="rect">
                      <a:avLst/>
                    </a:prstGeom>
                    <a:noFill/>
                    <a:ln>
                      <a:noFill/>
                    </a:ln>
                  </pic:spPr>
                </pic:pic>
              </a:graphicData>
            </a:graphic>
          </wp:inline>
        </w:drawing>
      </w:r>
    </w:p>
    <w:p w14:paraId="3AEACD6F" w14:textId="7EE38B91" w:rsidR="000B48D1" w:rsidRPr="00457D95" w:rsidRDefault="00406464" w:rsidP="000B48D1">
      <w:pPr>
        <w:pStyle w:val="BodyText"/>
        <w:tabs>
          <w:tab w:val="left" w:pos="709"/>
        </w:tabs>
        <w:spacing w:after="160" w:line="276" w:lineRule="auto"/>
        <w:ind w:right="-278"/>
        <w:jc w:val="center"/>
        <w:rPr>
          <w:rFonts w:ascii="Arial" w:hAnsi="Arial" w:cs="Arial"/>
        </w:rPr>
      </w:pPr>
      <w:r w:rsidRPr="00406464">
        <w:rPr>
          <w:rFonts w:ascii="Arial" w:hAnsi="Arial" w:cs="Arial"/>
          <w:b/>
        </w:rPr>
        <w:t>Gambar</w:t>
      </w:r>
      <w:r>
        <w:rPr>
          <w:rFonts w:ascii="Arial" w:hAnsi="Arial" w:cs="Arial"/>
        </w:rPr>
        <w:t xml:space="preserve">. </w:t>
      </w:r>
      <w:r w:rsidR="00E16C48">
        <w:rPr>
          <w:rFonts w:ascii="Arial" w:hAnsi="Arial" w:cs="Arial"/>
        </w:rPr>
        <w:t>Pelaksanaan Pengabdian</w:t>
      </w:r>
    </w:p>
    <w:p w14:paraId="680B962D" w14:textId="27DE142D" w:rsidR="005C672F" w:rsidRPr="00C5554D" w:rsidRDefault="005C672F" w:rsidP="005F35DF">
      <w:pPr>
        <w:pStyle w:val="BodyText"/>
        <w:tabs>
          <w:tab w:val="left" w:pos="1320"/>
        </w:tabs>
        <w:spacing w:after="160" w:line="276" w:lineRule="auto"/>
        <w:ind w:right="-280"/>
        <w:rPr>
          <w:rFonts w:ascii="Arial" w:hAnsi="Arial" w:cs="Arial"/>
          <w:b/>
        </w:rPr>
      </w:pPr>
      <w:r w:rsidRPr="00C5554D">
        <w:rPr>
          <w:rFonts w:ascii="Arial" w:hAnsi="Arial" w:cs="Arial"/>
          <w:b/>
        </w:rPr>
        <w:t>KESIMPULAN</w:t>
      </w:r>
    </w:p>
    <w:p w14:paraId="31E353EB" w14:textId="77777777" w:rsidR="00E16C48" w:rsidRDefault="0057710E" w:rsidP="00E16C48">
      <w:pPr>
        <w:spacing w:after="160" w:line="276" w:lineRule="auto"/>
        <w:ind w:firstLine="720"/>
        <w:jc w:val="both"/>
        <w:rPr>
          <w:rFonts w:ascii="Arial" w:hAnsi="Arial" w:cs="Arial"/>
          <w:sz w:val="24"/>
          <w:szCs w:val="24"/>
        </w:rPr>
      </w:pPr>
      <w:r w:rsidRPr="0057710E">
        <w:rPr>
          <w:rFonts w:ascii="Arial" w:hAnsi="Arial" w:cs="Arial"/>
          <w:sz w:val="24"/>
          <w:szCs w:val="24"/>
        </w:rPr>
        <w:t xml:space="preserve">Berdasarkan hasil kegiatan </w:t>
      </w:r>
      <w:r w:rsidR="00E16C48">
        <w:rPr>
          <w:rFonts w:ascii="Arial" w:hAnsi="Arial" w:cs="Arial"/>
          <w:sz w:val="24"/>
          <w:szCs w:val="24"/>
        </w:rPr>
        <w:t>pengabdian</w:t>
      </w:r>
      <w:r w:rsidRPr="0057710E">
        <w:rPr>
          <w:rFonts w:ascii="Arial" w:hAnsi="Arial" w:cs="Arial"/>
          <w:sz w:val="24"/>
          <w:szCs w:val="24"/>
        </w:rPr>
        <w:t xml:space="preserve"> di Kantor Konsultan Pajak KILTA, dapat disimpulkan bahwa proses administrasi pelaporan Pajak Penghasilan (PPh) Final bagi Usaha Mikro, Kecil, dan Menengah (UMKM) telah dilaksanakan secara terstruktur dan sesuai dengan ketentuan perpajakan yang berlaku. pencatatan dan pengumpulan data, rekapitulasi data kedalam sistem internal, pembuatan kode billing, penyetoran sekaligus pelaporan SPT Masa. Peran konsultan, staf, dan mahasiswa </w:t>
      </w:r>
      <w:r w:rsidR="00E16C48">
        <w:rPr>
          <w:rFonts w:ascii="Arial" w:hAnsi="Arial" w:cs="Arial"/>
          <w:sz w:val="24"/>
          <w:szCs w:val="24"/>
        </w:rPr>
        <w:t>pengabdian</w:t>
      </w:r>
      <w:r w:rsidRPr="0057710E">
        <w:rPr>
          <w:rFonts w:ascii="Arial" w:hAnsi="Arial" w:cs="Arial"/>
          <w:sz w:val="24"/>
          <w:szCs w:val="24"/>
        </w:rPr>
        <w:t xml:space="preserve"> berjalan secara kolaboratif di mana konsultan berperan sebagai pengawas dan penjamin akurasi, staf sebagai pelaksana administrasi dan pelaporan, serta mahasiswa </w:t>
      </w:r>
      <w:r w:rsidR="00E16C48">
        <w:rPr>
          <w:rFonts w:ascii="Arial" w:hAnsi="Arial" w:cs="Arial"/>
          <w:sz w:val="24"/>
          <w:szCs w:val="24"/>
        </w:rPr>
        <w:t>pengabdian</w:t>
      </w:r>
      <w:r w:rsidRPr="0057710E">
        <w:rPr>
          <w:rFonts w:ascii="Arial" w:hAnsi="Arial" w:cs="Arial"/>
          <w:sz w:val="24"/>
          <w:szCs w:val="24"/>
        </w:rPr>
        <w:t xml:space="preserve"> sebagai pendukung teknis dan dokumentasi. Pelaksanaan ini menunjukkan penerapan prinsip administrasi perpajakan modern serta teori kepatuhan pajak (Slippery Slope Framework), yang menekankan keseimbangan antara kepercayaan dan kekuatan hukum untuk mendorong kepatuhan sukarela wajib pajak.</w:t>
      </w:r>
    </w:p>
    <w:p w14:paraId="4379F7C2" w14:textId="71A3BF00" w:rsidR="0057710E" w:rsidRDefault="0057710E" w:rsidP="00E16C48">
      <w:pPr>
        <w:spacing w:after="160" w:line="276" w:lineRule="auto"/>
        <w:ind w:firstLine="720"/>
        <w:jc w:val="both"/>
        <w:rPr>
          <w:rFonts w:ascii="Arial" w:hAnsi="Arial" w:cs="Arial"/>
          <w:sz w:val="24"/>
          <w:szCs w:val="24"/>
        </w:rPr>
      </w:pPr>
      <w:r w:rsidRPr="0057710E">
        <w:rPr>
          <w:rFonts w:ascii="Arial" w:hAnsi="Arial" w:cs="Arial"/>
          <w:sz w:val="24"/>
          <w:szCs w:val="24"/>
        </w:rPr>
        <w:t xml:space="preserve">Kantor Konsultan Pajak KILTA disarankan untuk terus meningkatkan efisiensi administrasi melalui digitalisasi dokumen dan pengembangan sistem penyimpanan data yang lebih terintegrasi. Selain itu, pendampingan dan edukasi terhadap klien UMKM perlu terus ditingkatkan agar pelaku usaha mampu memahami dan melaksanakan kewajiban perpajakan secara mandiri. Bagi mahasiswa </w:t>
      </w:r>
      <w:r w:rsidR="00E16C48">
        <w:rPr>
          <w:rFonts w:ascii="Arial" w:hAnsi="Arial" w:cs="Arial"/>
          <w:sz w:val="24"/>
          <w:szCs w:val="24"/>
        </w:rPr>
        <w:t>pengabdian</w:t>
      </w:r>
      <w:r w:rsidRPr="0057710E">
        <w:rPr>
          <w:rFonts w:ascii="Arial" w:hAnsi="Arial" w:cs="Arial"/>
          <w:sz w:val="24"/>
          <w:szCs w:val="24"/>
        </w:rPr>
        <w:t xml:space="preserve"> selanjutnya, diharapkan dapat memperdalam pemahaman mengenai sistem perpajakan digital seperti Coretax agar mampu beradaptasi dengan praktik administrasi perpajakan moderen dan memperoleh pengalaman yang lebih optimal selama pelaksanaan </w:t>
      </w:r>
      <w:r w:rsidR="00E16C48">
        <w:rPr>
          <w:rFonts w:ascii="Arial" w:hAnsi="Arial" w:cs="Arial"/>
          <w:sz w:val="24"/>
          <w:szCs w:val="24"/>
        </w:rPr>
        <w:t>pengabdian</w:t>
      </w:r>
      <w:r w:rsidRPr="0057710E">
        <w:rPr>
          <w:rFonts w:ascii="Arial" w:hAnsi="Arial" w:cs="Arial"/>
          <w:sz w:val="24"/>
          <w:szCs w:val="24"/>
        </w:rPr>
        <w:t>.</w:t>
      </w:r>
    </w:p>
    <w:p w14:paraId="70122BEF" w14:textId="6A6E698C" w:rsidR="006659E0" w:rsidRPr="00C5554D" w:rsidRDefault="006659E0" w:rsidP="006659E0">
      <w:pPr>
        <w:spacing w:line="276" w:lineRule="auto"/>
        <w:rPr>
          <w:rFonts w:ascii="Arial" w:hAnsi="Arial" w:cs="Arial"/>
          <w:b/>
          <w:bCs/>
          <w:sz w:val="24"/>
          <w:szCs w:val="24"/>
        </w:rPr>
      </w:pPr>
      <w:r w:rsidRPr="00C5554D">
        <w:rPr>
          <w:rFonts w:ascii="Arial" w:hAnsi="Arial" w:cs="Arial"/>
          <w:b/>
          <w:bCs/>
          <w:sz w:val="24"/>
          <w:szCs w:val="24"/>
        </w:rPr>
        <w:t>DAFTAR PUSTAKA</w:t>
      </w:r>
    </w:p>
    <w:p w14:paraId="4FA1E001" w14:textId="77777777" w:rsidR="0057710E" w:rsidRPr="00E16C48" w:rsidRDefault="0057710E" w:rsidP="00E16C48">
      <w:pPr>
        <w:ind w:left="426" w:hanging="426"/>
        <w:jc w:val="both"/>
        <w:rPr>
          <w:rFonts w:ascii="Arial" w:hAnsi="Arial" w:cs="Arial"/>
          <w:sz w:val="24"/>
          <w:szCs w:val="24"/>
          <w:lang w:val="en-ID"/>
        </w:rPr>
      </w:pPr>
      <w:r w:rsidRPr="00E16C48">
        <w:rPr>
          <w:rFonts w:ascii="Arial" w:hAnsi="Arial" w:cs="Arial"/>
          <w:sz w:val="24"/>
          <w:szCs w:val="24"/>
        </w:rPr>
        <w:t>Badan Pusat Statistik. (2022). Statistik UMKM Indonesia 2022. Jakarta: Badan Pusat Statistik. Diakses dari</w:t>
      </w:r>
    </w:p>
    <w:p w14:paraId="101B7184"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lastRenderedPageBreak/>
        <w:t>https://scholar.google.com/scholar?q=Badan+Pusat+Statistik+2022+Statistik+UMKM+Indonesia</w:t>
      </w:r>
    </w:p>
    <w:p w14:paraId="07DE7EB1"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Direktorat Jenderal Pajak. (2018). Peraturan Pemerintah Republik Indonesia Nomor 23 Tahun 2018 tentang Pajak Penghasilan atas Penghasilan dari Usaha yang Diterima atau Diperoleh Wajib Pajak yang Memiliki Peredaran Bruto Tertentu. Jakarta: Kementerian Keuangan Republik Indonesia. Diakses dari https://scholar.google.com/scholar?q=PP+23+Tahun+2018+PPh+UMKM</w:t>
      </w:r>
    </w:p>
    <w:p w14:paraId="7DAF0671"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Direktorat Jenderal Pajak. (2021). Undang-Undang Nomor 7 Tahun 2021 tentang Harmonisasi Peraturan Perpajakan. Jakarta: Kementerian Keuangan Republik Indonesia. Diakses dari</w:t>
      </w:r>
    </w:p>
    <w:p w14:paraId="3E971B75"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https://scholar.google.com/scholar?q=UU+7+Tahun+2021+HPP</w:t>
      </w:r>
    </w:p>
    <w:p w14:paraId="46051B77"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 xml:space="preserve">Hidayat, M., &amp; Dewi, N. P. (2021). Pengaruh kemudahan administrasi pajak terhadap kepatuhan pajak UMKM di Indonesia. </w:t>
      </w:r>
      <w:r w:rsidRPr="00E16C48">
        <w:rPr>
          <w:rFonts w:ascii="Arial" w:hAnsi="Arial" w:cs="Arial"/>
          <w:i/>
          <w:iCs/>
          <w:sz w:val="24"/>
          <w:szCs w:val="24"/>
        </w:rPr>
        <w:t>Jurnal Ilmiah Pajak dan Keuangan Negara</w:t>
      </w:r>
      <w:r w:rsidRPr="00E16C48">
        <w:rPr>
          <w:rFonts w:ascii="Arial" w:hAnsi="Arial" w:cs="Arial"/>
          <w:sz w:val="24"/>
          <w:szCs w:val="24"/>
        </w:rPr>
        <w:t>, 3(2), 112–123. Diakses dari</w:t>
      </w:r>
    </w:p>
    <w:p w14:paraId="4CFB7467"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https://scholar.google.com/scholar?q=Hidayat+Dewi+2021+Kemudahan+Administrasi+UMKM</w:t>
      </w:r>
    </w:p>
    <w:p w14:paraId="65AD7AE4"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Kementerian Koperasi dan UKM Republik Indonesia. (2023). Laporan Perkembangan Data UMKM Tahun 2023. Jakarta: Kementerian Koperasi dan UKM Republik Indonesia. Diakses dari</w:t>
      </w:r>
    </w:p>
    <w:p w14:paraId="4B50771C"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https://scholar.google.com/scholar?q=Laporan+Perkembangan+Data+UMKM+2023+Kemenkop</w:t>
      </w:r>
    </w:p>
    <w:p w14:paraId="68F657CB"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Mardiasmo. (2018). Perpajakan Indonesia: Teori dan Kasus (Edisi terbaru). Yogyakarta: ANDI Offset. Diakses dari</w:t>
      </w:r>
    </w:p>
    <w:p w14:paraId="4D92F2CB"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https://scholar.google.com/scholar?q=Mardiasmo+2018+Perpajakan+Indonesia</w:t>
      </w:r>
    </w:p>
    <w:p w14:paraId="19792CBE"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Putri, A. R., &amp; Hidayat, A. (2022). Dampak kebijakan PPh Final terhadap kepatuhan pajak UMKM di Indonesia. Jurnal Ilmiah Akuntansi dan Pajak, 6(1), 45–58. Diakses dari</w:t>
      </w:r>
    </w:p>
    <w:p w14:paraId="58B62414"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https://scholar.google.com/scholar?q=Putri+Hidayat+2022+PPh+Final+UMKM</w:t>
      </w:r>
    </w:p>
    <w:p w14:paraId="5E92EFCD"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Rahayu, N. (2022). Peran konsultan pajak dalam peningkatan kepatuhan wajib pajak UMKM. Jurnal Administrasi Bisnis dan Keuangan, 7(2), 90–102. Diakses dari</w:t>
      </w:r>
    </w:p>
    <w:p w14:paraId="460671D3"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https://scholar.google.com/scholar?q=Rahayu+2022+konsultan+pajak+UMKM</w:t>
      </w:r>
    </w:p>
    <w:p w14:paraId="00498A24"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Rohmah, L., &amp; Prasetyo, D. (2021). Analisis efektivitas penerapan PP No. 23 Tahun 2018 terhadap peningkatan kepatuhan pajak UMKM. Jurnal Ilmiah Akuntansi dan Pajak Indonesia, 5(2), 65–78. Diakses dari</w:t>
      </w:r>
    </w:p>
    <w:p w14:paraId="20453C6E"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https://scholar.google.com/scholar?q=Rohmah+Prasetyo+2021+PP+23+2018</w:t>
      </w:r>
    </w:p>
    <w:p w14:paraId="1B2C0807"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Rohmah, A., &amp; Wahyudi, R. (2022). Peran UMKM dalam pembangunan ekonomi berkelanjutan di Indonesia. Jurnal Ilmiah Administrasi dan Kebijakan Publik, 9(1), 34–47. Diakses dari</w:t>
      </w:r>
    </w:p>
    <w:p w14:paraId="033CC206"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https://scholar.google.com/scholar?q=Rohmah+Wahyudi+2022+UMKM+pembangunan+berkelanjutan</w:t>
      </w:r>
    </w:p>
    <w:p w14:paraId="4CEC0C9D"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Sari, N. M., &amp; Dewi, P. (2021). Dampak kebijakan PPh Final 0,5% terhadap kepatuhan dan penerimaan pajak UMKM. Jurnal Pajak dan Keuangan Negara, 4(3), 87–99. Diakses dari</w:t>
      </w:r>
    </w:p>
    <w:p w14:paraId="16ACB1DD"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https://scholar.google.com/scholar?q=Sari+Dewi+2021+PPh+Final+0.5%25</w:t>
      </w:r>
    </w:p>
    <w:p w14:paraId="7A30390F"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Sari, A., &amp; Utami, F. (2022). Evaluasi penerapan PPh Final UMKM berdasarkan PP No. 23 Tahun 2018: Perspektif keadilan pajak. Jurnal Keuangan dan Perpajakan, 5(1), 101–115. Diakses dari</w:t>
      </w:r>
    </w:p>
    <w:p w14:paraId="2709E31F"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https://scholar.google.com/scholar?q=Sari+Utami+2022+PP+23+2018</w:t>
      </w:r>
    </w:p>
    <w:p w14:paraId="415ADAAD"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 xml:space="preserve">Sari, D., &amp; Pratama, B. (2021). Kontribusi UMKM terhadap pertumbuhan ekonomi di </w:t>
      </w:r>
      <w:r w:rsidRPr="00E16C48">
        <w:rPr>
          <w:rFonts w:ascii="Arial" w:hAnsi="Arial" w:cs="Arial"/>
          <w:sz w:val="24"/>
          <w:szCs w:val="24"/>
        </w:rPr>
        <w:lastRenderedPageBreak/>
        <w:t>Indonesia. Jurnal Ekonomi dan Bisnis Indonesia, 9(2), 56–70. Diakses dari</w:t>
      </w:r>
    </w:p>
    <w:p w14:paraId="55840473"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https://scholar.google.com/scholar?q=Sari+Pratama+2021+UMKM+pertumbuhan+ekonomi</w:t>
      </w:r>
    </w:p>
    <w:p w14:paraId="44AB954E"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Suandy, E. (2019). Perencanaan Pajak (Tax Planning). Jakarta: Salemba Empat. Diakses dari</w:t>
      </w:r>
    </w:p>
    <w:p w14:paraId="058BAFE6"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https://scholar.google.com/scholar?q=Suandy+2019+Perencanaan+Pajak</w:t>
      </w:r>
    </w:p>
    <w:p w14:paraId="5AE7C6DF"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Suharyono, T. (2020). Prinsip keadilan dalam kebijakan pajak UMKM di Indonesia. Jurnal Administrasi dan Kebijakan Publik, 6(1), 22–35. Diakses dari https://scholar.google.com/scholar?q=Suharyono+2020+keadilan+pajak+UMKM</w:t>
      </w:r>
    </w:p>
    <w:p w14:paraId="08C53B52"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Suryani, E. (2022). Kontribusi sektor UMKM terhadap penerimaan pajak nasional di era digital. Jurnal Pajak dan Keuangan Negara, 5(2), 60–73. Diakses dari https://scholar.google.com/scholar?q=Suryani+2022+UMKM+penerimaan+pajak</w:t>
      </w:r>
    </w:p>
    <w:p w14:paraId="11817842"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Tambunan, T. (2019). Peran UMKM dalam perekonomian Indonesia: Analisis dan tantangan di era globalisasi. Jurnal Ekonomi dan Pembangunan Indonesia, 19(1), 1–17. Diakses dari</w:t>
      </w:r>
    </w:p>
    <w:p w14:paraId="2EEF29AF"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https://scholar.google.com/scholar?q=Tambunan+2019+peran+UMKM</w:t>
      </w:r>
    </w:p>
    <w:p w14:paraId="281EF0C6"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Undang-Undang Republik Indonesia Nomor 20 Tahun 2008 tentang Usaha Mikro, Kecil, dan Menengah. Lembaran Negara Republik Indonesia Tahun 2008 Nomor 93. Diakses dari</w:t>
      </w:r>
    </w:p>
    <w:p w14:paraId="4607995F"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https://scholar.google.com/scholar?q=UU+20+Tahun+2008+UMKM</w:t>
      </w:r>
    </w:p>
    <w:p w14:paraId="2C93A941"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Waluyo. (2020). Perpajakan Indonesia. Jakarta: Salemba Empat. Diakses dari https://scholar.google.com/scholar?q=Waluyo+2020+Perpajakan+Indonesia</w:t>
      </w:r>
    </w:p>
    <w:p w14:paraId="37D0F0FD"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Juniarti, M. (2020). Peran Konsultan Pajak dalam Menjaga Kepatuhan Hukum dan Ketepatan Data pada Sistem Self Assessment. Jurnal Hukum dan Perpajakan, 7(1), 22–34. Diakses dari</w:t>
      </w:r>
    </w:p>
    <w:p w14:paraId="65B9F399"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https://scholar.google.com/scholar?q=Juniarti+2020+Konsultan+Pajak+Self+Assessment</w:t>
      </w:r>
    </w:p>
    <w:p w14:paraId="29C31EAF"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Kirchler, E., Hoelzl, E., &amp; Wahl, I. (2008). Enforced versus Voluntary Tax Compliance: The “Slippery Slope” Framework. Journal of Economic Psychology, 29(2), 210–225. Diakses dari</w:t>
      </w:r>
    </w:p>
    <w:p w14:paraId="3D7CDAD8"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https://scholar.google.com/scholar?q=Kirchler+Hoelzl+Wahl+2008+Slippery+Slope</w:t>
      </w:r>
    </w:p>
    <w:p w14:paraId="79E45DF1"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Putri, D., &amp; Hidayat, M. (2022). Peran Konsultan Pajak dalam Meningkatkan Kepatuhan Sukarela UMKM melalui Pendampingan Administrasi dan Edukasi Perpajakan. Jurnal Keuangan dan Perpajakan, 10(3), 77–91. Diakses dari https://scholar.google.com/scholar?q=Putri+Hidayat+2022+kepatuhan+sukarela+UMKM</w:t>
      </w:r>
    </w:p>
    <w:p w14:paraId="48F4DFB6"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Suryani, D. (2022). Kendala UMKM dalam Pelaporan PPh Final Pasca Implementasi PP 23 Tahun 2018. Jurnal Pajak dan Keuangan Negara, 11(1), 41–53. Diakses dari</w:t>
      </w:r>
    </w:p>
    <w:p w14:paraId="75371804" w14:textId="77777777" w:rsidR="0057710E" w:rsidRPr="00E16C48" w:rsidRDefault="00BE35B4" w:rsidP="00E16C48">
      <w:pPr>
        <w:ind w:left="426"/>
        <w:jc w:val="both"/>
        <w:rPr>
          <w:rFonts w:ascii="Arial" w:hAnsi="Arial" w:cs="Arial"/>
          <w:sz w:val="24"/>
          <w:szCs w:val="24"/>
        </w:rPr>
      </w:pPr>
      <w:hyperlink r:id="rId11" w:history="1">
        <w:r w:rsidR="0057710E" w:rsidRPr="00E16C48">
          <w:rPr>
            <w:rStyle w:val="Hyperlink"/>
            <w:rFonts w:ascii="Arial" w:hAnsi="Arial" w:cs="Arial"/>
            <w:sz w:val="24"/>
            <w:szCs w:val="24"/>
          </w:rPr>
          <w:t>https://scholar.google.com/scholar?q=Suryani+2022+Kendala+Pelaporan+PPh+Final</w:t>
        </w:r>
      </w:hyperlink>
    </w:p>
    <w:p w14:paraId="5DA1358E" w14:textId="77777777" w:rsidR="0057710E" w:rsidRPr="00E16C48" w:rsidRDefault="0057710E" w:rsidP="00E16C48">
      <w:pPr>
        <w:ind w:left="426" w:hanging="426"/>
        <w:jc w:val="both"/>
        <w:rPr>
          <w:rFonts w:ascii="Arial" w:hAnsi="Arial" w:cs="Arial"/>
          <w:sz w:val="24"/>
          <w:szCs w:val="24"/>
        </w:rPr>
      </w:pPr>
      <w:r w:rsidRPr="00E16C48">
        <w:rPr>
          <w:rFonts w:ascii="Arial" w:hAnsi="Arial" w:cs="Arial"/>
          <w:sz w:val="24"/>
          <w:szCs w:val="24"/>
        </w:rPr>
        <w:t>James, S., &amp; Alley, C. (2004). Tax compliance theory. New Zealand Journal of Taxation Law and Policy, 10(4), 143–170. Diakses dari</w:t>
      </w:r>
    </w:p>
    <w:p w14:paraId="0C907C34" w14:textId="77777777" w:rsidR="0057710E" w:rsidRPr="00E16C48" w:rsidRDefault="0057710E" w:rsidP="00E16C48">
      <w:pPr>
        <w:ind w:left="426"/>
        <w:jc w:val="both"/>
        <w:rPr>
          <w:rFonts w:ascii="Arial" w:hAnsi="Arial" w:cs="Arial"/>
          <w:sz w:val="24"/>
          <w:szCs w:val="24"/>
        </w:rPr>
      </w:pPr>
      <w:r w:rsidRPr="00E16C48">
        <w:rPr>
          <w:rFonts w:ascii="Arial" w:hAnsi="Arial" w:cs="Arial"/>
          <w:sz w:val="24"/>
          <w:szCs w:val="24"/>
        </w:rPr>
        <w:t>https://scholar.google.com/scholar?q=James+%26+Alley+2004+Tax+Compliance+Theory</w:t>
      </w:r>
    </w:p>
    <w:p w14:paraId="220B78D0" w14:textId="358F2597" w:rsidR="006659E0" w:rsidRPr="00E16C48" w:rsidRDefault="006659E0" w:rsidP="00E16C48">
      <w:pPr>
        <w:ind w:left="993" w:hanging="993"/>
        <w:jc w:val="both"/>
        <w:rPr>
          <w:rFonts w:ascii="Arial" w:hAnsi="Arial" w:cs="Arial"/>
          <w:sz w:val="24"/>
          <w:szCs w:val="24"/>
        </w:rPr>
      </w:pPr>
    </w:p>
    <w:sectPr w:rsidR="006659E0" w:rsidRPr="00E16C48" w:rsidSect="00225F42">
      <w:headerReference w:type="default" r:id="rId12"/>
      <w:footerReference w:type="default" r:id="rId13"/>
      <w:pgSz w:w="11906" w:h="16838"/>
      <w:pgMar w:top="1440" w:right="1440" w:bottom="1440" w:left="1440" w:header="708" w:footer="708"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67D5" w14:textId="77777777" w:rsidR="00BE35B4" w:rsidRDefault="00BE35B4" w:rsidP="00804FF7">
      <w:r>
        <w:separator/>
      </w:r>
    </w:p>
  </w:endnote>
  <w:endnote w:type="continuationSeparator" w:id="0">
    <w:p w14:paraId="53A0B7B7" w14:textId="77777777" w:rsidR="00BE35B4" w:rsidRDefault="00BE35B4"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91841"/>
      <w:docPartObj>
        <w:docPartGallery w:val="Page Numbers (Bottom of Page)"/>
        <w:docPartUnique/>
      </w:docPartObj>
    </w:sdtPr>
    <w:sdtEndPr>
      <w:rPr>
        <w:noProof/>
      </w:rPr>
    </w:sdtEndPr>
    <w:sdtContent>
      <w:p w14:paraId="3BC40FB3" w14:textId="3B1C428F" w:rsidR="00225F42" w:rsidRDefault="00225F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B7E5F" w14:textId="77777777" w:rsidR="00225F42" w:rsidRDefault="0022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1476" w14:textId="77777777" w:rsidR="00BE35B4" w:rsidRDefault="00BE35B4" w:rsidP="00804FF7">
      <w:r>
        <w:separator/>
      </w:r>
    </w:p>
  </w:footnote>
  <w:footnote w:type="continuationSeparator" w:id="0">
    <w:p w14:paraId="56EA4646" w14:textId="77777777" w:rsidR="00BE35B4" w:rsidRDefault="00BE35B4"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59BCFD4C" w:rsidR="00804FF7" w:rsidRPr="005A4E78" w:rsidRDefault="00C06C08" w:rsidP="00804FF7">
    <w:pPr>
      <w:pStyle w:val="Header"/>
      <w:tabs>
        <w:tab w:val="clear" w:pos="4513"/>
      </w:tabs>
      <w:rPr>
        <w:b/>
        <w:bCs/>
      </w:rPr>
    </w:pPr>
    <w:r w:rsidRPr="005A4E78">
      <w:rPr>
        <w:b/>
        <w:bCs/>
      </w:rPr>
      <w:t>Vol. 1 No.</w:t>
    </w:r>
    <w:r w:rsidR="0057710E">
      <w:rPr>
        <w:b/>
        <w:bCs/>
      </w:rPr>
      <w:t xml:space="preserve"> 2</w:t>
    </w:r>
    <w:r w:rsidRPr="005A4E78">
      <w:rPr>
        <w:b/>
        <w:bCs/>
      </w:rPr>
      <w:t xml:space="preserve"> </w:t>
    </w:r>
    <w:r w:rsidR="0057710E">
      <w:rPr>
        <w:b/>
        <w:bCs/>
      </w:rPr>
      <w:t>Oktober</w:t>
    </w:r>
    <w:r>
      <w:rPr>
        <w:b/>
        <w:bCs/>
      </w:rPr>
      <w:t xml:space="preserve">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331B45"/>
    <w:multiLevelType w:val="hybridMultilevel"/>
    <w:tmpl w:val="66D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7"/>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35561"/>
    <w:rsid w:val="0003573A"/>
    <w:rsid w:val="000542E2"/>
    <w:rsid w:val="00060DB2"/>
    <w:rsid w:val="000B48D1"/>
    <w:rsid w:val="00142F03"/>
    <w:rsid w:val="00195BCE"/>
    <w:rsid w:val="001C48AA"/>
    <w:rsid w:val="001C5102"/>
    <w:rsid w:val="00225F42"/>
    <w:rsid w:val="0026593F"/>
    <w:rsid w:val="003269BD"/>
    <w:rsid w:val="00393CA4"/>
    <w:rsid w:val="003F5269"/>
    <w:rsid w:val="00406464"/>
    <w:rsid w:val="00457D95"/>
    <w:rsid w:val="004634D5"/>
    <w:rsid w:val="004E429A"/>
    <w:rsid w:val="004E54A9"/>
    <w:rsid w:val="00554489"/>
    <w:rsid w:val="0057710E"/>
    <w:rsid w:val="005A4E78"/>
    <w:rsid w:val="005C672F"/>
    <w:rsid w:val="005E6B0A"/>
    <w:rsid w:val="005F2746"/>
    <w:rsid w:val="005F35DF"/>
    <w:rsid w:val="006659E0"/>
    <w:rsid w:val="00676DFF"/>
    <w:rsid w:val="00694255"/>
    <w:rsid w:val="006A54D5"/>
    <w:rsid w:val="006B2EE5"/>
    <w:rsid w:val="006E430E"/>
    <w:rsid w:val="007036DC"/>
    <w:rsid w:val="00737C40"/>
    <w:rsid w:val="00804FF7"/>
    <w:rsid w:val="00881CF2"/>
    <w:rsid w:val="0088353A"/>
    <w:rsid w:val="00912FE8"/>
    <w:rsid w:val="009C7DE3"/>
    <w:rsid w:val="009F2508"/>
    <w:rsid w:val="00A50603"/>
    <w:rsid w:val="00A75C1D"/>
    <w:rsid w:val="00AE730B"/>
    <w:rsid w:val="00B43F35"/>
    <w:rsid w:val="00B55619"/>
    <w:rsid w:val="00BE35B4"/>
    <w:rsid w:val="00C06C08"/>
    <w:rsid w:val="00CB0A49"/>
    <w:rsid w:val="00D47450"/>
    <w:rsid w:val="00E169AB"/>
    <w:rsid w:val="00E16C48"/>
    <w:rsid w:val="00E60522"/>
    <w:rsid w:val="00EE31FA"/>
    <w:rsid w:val="00F01168"/>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nsyah@unram.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hade@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q=Suryani+2022+Kendala+Pelaporan+PPh+Fin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10</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34</cp:revision>
  <dcterms:created xsi:type="dcterms:W3CDTF">2026-03-05T18:47:00Z</dcterms:created>
  <dcterms:modified xsi:type="dcterms:W3CDTF">2026-06-13T15:17:00Z</dcterms:modified>
</cp:coreProperties>
</file>